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6012" w14:textId="6825B497" w:rsidR="0003301F" w:rsidRDefault="0003301F" w:rsidP="00751CBF">
      <w:pPr>
        <w:pStyle w:val="RIDETitle"/>
      </w:pPr>
    </w:p>
    <w:p w14:paraId="5A6B1B04" w14:textId="77777777" w:rsidR="0003301F" w:rsidRDefault="0003301F" w:rsidP="00751CBF">
      <w:pPr>
        <w:pStyle w:val="RIDETitle"/>
      </w:pPr>
    </w:p>
    <w:p w14:paraId="468D229F" w14:textId="0141A8F6" w:rsidR="006E4E9A" w:rsidRPr="0058243A" w:rsidRDefault="00C57CD2" w:rsidP="00751CBF">
      <w:pPr>
        <w:pStyle w:val="RIDETitle"/>
        <w:rPr>
          <w:color w:val="1F497D" w:themeColor="text2"/>
        </w:rPr>
      </w:pPr>
      <w:r w:rsidRPr="0058243A">
        <w:rPr>
          <w:color w:val="1F497D" w:themeColor="text2"/>
        </w:rPr>
        <w:t>Moshassuck Public Schools’ Professional Learning Plan</w:t>
      </w:r>
    </w:p>
    <w:p w14:paraId="5A0FD64D" w14:textId="73092A98" w:rsidR="0003301F" w:rsidRPr="00751CBF" w:rsidRDefault="00C57CD2" w:rsidP="00751CBF">
      <w:pPr>
        <w:pStyle w:val="RIDESub1"/>
      </w:pPr>
      <w:r>
        <w:t>A Fictional Rhode Island School District</w:t>
      </w:r>
    </w:p>
    <w:p w14:paraId="111CE5B6" w14:textId="77777777" w:rsidR="00751CBF" w:rsidRDefault="00751CBF"/>
    <w:p w14:paraId="6029FF84" w14:textId="6CA632F1" w:rsidR="00751CBF" w:rsidRDefault="00751CBF"/>
    <w:p w14:paraId="5ACFF387" w14:textId="2A862F29" w:rsidR="00751CBF" w:rsidRDefault="00751CBF"/>
    <w:p w14:paraId="03B683CD" w14:textId="77777777" w:rsidR="00751CBF" w:rsidRDefault="00751CBF"/>
    <w:p w14:paraId="0CF2D898" w14:textId="2E5F6D0B" w:rsidR="00751CBF" w:rsidRDefault="00751CBF"/>
    <w:p w14:paraId="19E5505D" w14:textId="77777777" w:rsidR="00751CBF" w:rsidRDefault="00751CBF"/>
    <w:p w14:paraId="0193C53F" w14:textId="1DE3339C" w:rsidR="00751CBF" w:rsidRDefault="00751CBF"/>
    <w:p w14:paraId="62139197" w14:textId="77777777" w:rsidR="00751CBF" w:rsidRDefault="00751CBF"/>
    <w:p w14:paraId="6EB320CD" w14:textId="420CE9C8" w:rsidR="00751CBF" w:rsidRDefault="00751CBF"/>
    <w:p w14:paraId="5E9CC570" w14:textId="6D0C6621" w:rsidR="00751CBF" w:rsidRDefault="00751CBF"/>
    <w:p w14:paraId="0FB6ED9D" w14:textId="77777777" w:rsidR="007A3F6E" w:rsidRDefault="007A3F6E"/>
    <w:p w14:paraId="584CDD30" w14:textId="082259E0" w:rsidR="00751CBF" w:rsidRPr="00751CBF" w:rsidRDefault="0058243A" w:rsidP="00630ACD">
      <w:pPr>
        <w:pStyle w:val="RIDESub2"/>
      </w:pPr>
      <w:r>
        <w:t>Office of Educator Excellence &amp; Certification Services</w:t>
      </w:r>
    </w:p>
    <w:p w14:paraId="17D0F969" w14:textId="77777777" w:rsidR="00EB7C77" w:rsidRDefault="00C57CD2" w:rsidP="00EB7C77">
      <w:pPr>
        <w:pStyle w:val="RIDESub3"/>
        <w:sectPr w:rsidR="00EB7C77" w:rsidSect="00EB7C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00" w:gutter="0"/>
          <w:pgNumType w:fmt="lowerRoman" w:start="1"/>
          <w:cols w:space="720"/>
          <w:titlePg/>
          <w:docGrid w:linePitch="360"/>
        </w:sectPr>
      </w:pPr>
      <w:r>
        <w:t>2019</w:t>
      </w:r>
      <w:bookmarkStart w:id="0" w:name="_Toc5113884"/>
    </w:p>
    <w:p w14:paraId="2F7612C4" w14:textId="24C54BC0" w:rsidR="006E4E9A" w:rsidRPr="00EB7C77" w:rsidRDefault="006E4E9A" w:rsidP="00A84692">
      <w:pPr>
        <w:pStyle w:val="RIDEH2"/>
        <w:rPr>
          <w:bCs/>
          <w:sz w:val="48"/>
        </w:rPr>
      </w:pPr>
      <w:bookmarkStart w:id="1" w:name="_Toc7783247"/>
      <w:bookmarkStart w:id="2" w:name="_Toc11135855"/>
      <w:r w:rsidRPr="00FF13BD">
        <w:lastRenderedPageBreak/>
        <w:t xml:space="preserve">Table of </w:t>
      </w:r>
      <w:r w:rsidRPr="00363DA9">
        <w:t>Contents</w:t>
      </w:r>
      <w:bookmarkEnd w:id="0"/>
      <w:bookmarkEnd w:id="1"/>
      <w:bookmarkEnd w:id="2"/>
    </w:p>
    <w:p w14:paraId="7C8CF2E8" w14:textId="2D025569" w:rsidR="00BA6C19" w:rsidRDefault="005A33C4">
      <w:pPr>
        <w:pStyle w:val="TOC2"/>
        <w:rPr>
          <w:rFonts w:eastAsiaTheme="minorEastAsia"/>
          <w:i w:val="0"/>
          <w:sz w:val="22"/>
        </w:rPr>
      </w:pPr>
      <w:r w:rsidRPr="00D4502F">
        <w:rPr>
          <w:b/>
        </w:rPr>
        <w:fldChar w:fldCharType="begin"/>
      </w:r>
      <w:r w:rsidRPr="00D4502F">
        <w:rPr>
          <w:b/>
        </w:rPr>
        <w:instrText xml:space="preserve"> TOC \t "RIDE H3,3,RIDE H2,2,RIDE H1,1" </w:instrText>
      </w:r>
      <w:r w:rsidRPr="00D4502F">
        <w:rPr>
          <w:b/>
        </w:rPr>
        <w:fldChar w:fldCharType="separate"/>
      </w:r>
      <w:r w:rsidR="00BA6C19">
        <w:t>Table of Contents</w:t>
      </w:r>
      <w:r w:rsidR="00BA6C19">
        <w:tab/>
      </w:r>
      <w:r w:rsidR="00BA6C19">
        <w:fldChar w:fldCharType="begin"/>
      </w:r>
      <w:r w:rsidR="00BA6C19">
        <w:instrText xml:space="preserve"> PAGEREF _Toc11135855 \h </w:instrText>
      </w:r>
      <w:r w:rsidR="00BA6C19">
        <w:fldChar w:fldCharType="separate"/>
      </w:r>
      <w:r w:rsidR="00BA6C19">
        <w:t>i</w:t>
      </w:r>
      <w:r w:rsidR="00BA6C19">
        <w:fldChar w:fldCharType="end"/>
      </w:r>
    </w:p>
    <w:p w14:paraId="464FA21F" w14:textId="4F9821D7" w:rsidR="00BA6C19" w:rsidRDefault="00BA6C19">
      <w:pPr>
        <w:pStyle w:val="TOC2"/>
        <w:rPr>
          <w:rFonts w:eastAsiaTheme="minorEastAsia"/>
          <w:i w:val="0"/>
          <w:sz w:val="22"/>
        </w:rPr>
      </w:pPr>
      <w:r>
        <w:t>Introduction</w:t>
      </w:r>
      <w:r>
        <w:tab/>
      </w:r>
      <w:r>
        <w:fldChar w:fldCharType="begin"/>
      </w:r>
      <w:r>
        <w:instrText xml:space="preserve"> PAGEREF _Toc11135856 \h </w:instrText>
      </w:r>
      <w:r>
        <w:fldChar w:fldCharType="separate"/>
      </w:r>
      <w:r>
        <w:t>1</w:t>
      </w:r>
      <w:r>
        <w:fldChar w:fldCharType="end"/>
      </w:r>
    </w:p>
    <w:p w14:paraId="780B5234" w14:textId="73932F61" w:rsidR="00BA6C19" w:rsidRDefault="00BA6C19">
      <w:pPr>
        <w:pStyle w:val="TOC2"/>
        <w:rPr>
          <w:rFonts w:eastAsiaTheme="minorEastAsia"/>
          <w:i w:val="0"/>
          <w:sz w:val="22"/>
        </w:rPr>
      </w:pPr>
      <w:r w:rsidRPr="00D979DD">
        <w:rPr>
          <w:color w:val="1F497D" w:themeColor="text2"/>
        </w:rPr>
        <w:t>LEA Contact(s) &amp; Role</w:t>
      </w:r>
      <w:r>
        <w:tab/>
      </w:r>
      <w:r>
        <w:fldChar w:fldCharType="begin"/>
      </w:r>
      <w:r>
        <w:instrText xml:space="preserve"> PAGEREF _Toc11135857 \h </w:instrText>
      </w:r>
      <w:r>
        <w:fldChar w:fldCharType="separate"/>
      </w:r>
      <w:r>
        <w:t>2</w:t>
      </w:r>
      <w:r>
        <w:fldChar w:fldCharType="end"/>
      </w:r>
    </w:p>
    <w:p w14:paraId="655D9803" w14:textId="5632E020" w:rsidR="00BA6C19" w:rsidRDefault="00BA6C19">
      <w:pPr>
        <w:pStyle w:val="TOC2"/>
        <w:rPr>
          <w:rFonts w:eastAsiaTheme="minorEastAsia"/>
          <w:i w:val="0"/>
          <w:sz w:val="22"/>
        </w:rPr>
      </w:pPr>
      <w:r w:rsidRPr="00D979DD">
        <w:rPr>
          <w:color w:val="1F497D" w:themeColor="text2"/>
        </w:rPr>
        <w:t>LEA Professional Learning Goals</w:t>
      </w:r>
      <w:r>
        <w:tab/>
      </w:r>
      <w:r>
        <w:fldChar w:fldCharType="begin"/>
      </w:r>
      <w:r>
        <w:instrText xml:space="preserve"> PAGEREF _Toc11135858 \h </w:instrText>
      </w:r>
      <w:r>
        <w:fldChar w:fldCharType="separate"/>
      </w:r>
      <w:r>
        <w:t>2</w:t>
      </w:r>
      <w:r>
        <w:fldChar w:fldCharType="end"/>
      </w:r>
    </w:p>
    <w:p w14:paraId="529DA67F" w14:textId="0272646F" w:rsidR="00BA6C19" w:rsidRDefault="00BA6C19">
      <w:pPr>
        <w:pStyle w:val="TOC2"/>
        <w:rPr>
          <w:rFonts w:eastAsiaTheme="minorEastAsia"/>
          <w:i w:val="0"/>
          <w:sz w:val="22"/>
        </w:rPr>
      </w:pPr>
      <w:r w:rsidRPr="00D979DD">
        <w:rPr>
          <w:color w:val="1F497D" w:themeColor="text2"/>
        </w:rPr>
        <w:t>Section A: Definition and Type of Support</w:t>
      </w:r>
      <w:r>
        <w:tab/>
      </w:r>
      <w:r>
        <w:fldChar w:fldCharType="begin"/>
      </w:r>
      <w:r>
        <w:instrText xml:space="preserve"> PAGEREF _Toc11135859 \h </w:instrText>
      </w:r>
      <w:r>
        <w:fldChar w:fldCharType="separate"/>
      </w:r>
      <w:r>
        <w:t>2</w:t>
      </w:r>
      <w:r>
        <w:fldChar w:fldCharType="end"/>
      </w:r>
    </w:p>
    <w:p w14:paraId="05093633" w14:textId="2BDA8DCF" w:rsidR="00BA6C19" w:rsidRDefault="00BA6C19">
      <w:pPr>
        <w:pStyle w:val="TOC3"/>
        <w:tabs>
          <w:tab w:val="right" w:leader="dot" w:pos="9350"/>
        </w:tabs>
        <w:rPr>
          <w:rFonts w:eastAsiaTheme="minorEastAsia"/>
          <w:noProof/>
          <w:sz w:val="22"/>
        </w:rPr>
      </w:pPr>
      <w:r>
        <w:rPr>
          <w:noProof/>
        </w:rPr>
        <w:t>Definition</w:t>
      </w:r>
      <w:r>
        <w:rPr>
          <w:noProof/>
        </w:rPr>
        <w:tab/>
      </w:r>
      <w:r>
        <w:rPr>
          <w:noProof/>
        </w:rPr>
        <w:fldChar w:fldCharType="begin"/>
      </w:r>
      <w:r>
        <w:rPr>
          <w:noProof/>
        </w:rPr>
        <w:instrText xml:space="preserve"> PAGEREF _Toc11135860 \h </w:instrText>
      </w:r>
      <w:r>
        <w:rPr>
          <w:noProof/>
        </w:rPr>
      </w:r>
      <w:r>
        <w:rPr>
          <w:noProof/>
        </w:rPr>
        <w:fldChar w:fldCharType="separate"/>
      </w:r>
      <w:r>
        <w:rPr>
          <w:noProof/>
        </w:rPr>
        <w:t>2</w:t>
      </w:r>
      <w:r>
        <w:rPr>
          <w:noProof/>
        </w:rPr>
        <w:fldChar w:fldCharType="end"/>
      </w:r>
      <w:bookmarkStart w:id="3" w:name="_GoBack"/>
      <w:bookmarkEnd w:id="3"/>
    </w:p>
    <w:p w14:paraId="4D70F0C2" w14:textId="68D4E755" w:rsidR="00BA6C19" w:rsidRDefault="00BA6C19">
      <w:pPr>
        <w:pStyle w:val="TOC3"/>
        <w:tabs>
          <w:tab w:val="right" w:leader="dot" w:pos="9350"/>
        </w:tabs>
        <w:rPr>
          <w:rFonts w:eastAsiaTheme="minorEastAsia"/>
          <w:noProof/>
          <w:sz w:val="22"/>
        </w:rPr>
      </w:pPr>
      <w:r>
        <w:rPr>
          <w:noProof/>
        </w:rPr>
        <w:t>Type of Support</w:t>
      </w:r>
      <w:r>
        <w:rPr>
          <w:noProof/>
        </w:rPr>
        <w:tab/>
      </w:r>
      <w:r>
        <w:rPr>
          <w:noProof/>
        </w:rPr>
        <w:fldChar w:fldCharType="begin"/>
      </w:r>
      <w:r>
        <w:rPr>
          <w:noProof/>
        </w:rPr>
        <w:instrText xml:space="preserve"> PAGEREF _Toc11135861 \h </w:instrText>
      </w:r>
      <w:r>
        <w:rPr>
          <w:noProof/>
        </w:rPr>
      </w:r>
      <w:r>
        <w:rPr>
          <w:noProof/>
        </w:rPr>
        <w:fldChar w:fldCharType="separate"/>
      </w:r>
      <w:r>
        <w:rPr>
          <w:noProof/>
        </w:rPr>
        <w:t>3</w:t>
      </w:r>
      <w:r>
        <w:rPr>
          <w:noProof/>
        </w:rPr>
        <w:fldChar w:fldCharType="end"/>
      </w:r>
    </w:p>
    <w:p w14:paraId="00D11F18" w14:textId="69A79DC0" w:rsidR="00BA6C19" w:rsidRDefault="00BA6C19">
      <w:pPr>
        <w:pStyle w:val="TOC2"/>
        <w:rPr>
          <w:rFonts w:eastAsiaTheme="minorEastAsia"/>
          <w:i w:val="0"/>
          <w:sz w:val="22"/>
        </w:rPr>
      </w:pPr>
      <w:r w:rsidRPr="00D979DD">
        <w:rPr>
          <w:color w:val="1F497D" w:themeColor="text2"/>
        </w:rPr>
        <w:t>Section B: Data Analysis</w:t>
      </w:r>
      <w:r>
        <w:tab/>
      </w:r>
      <w:r>
        <w:fldChar w:fldCharType="begin"/>
      </w:r>
      <w:r>
        <w:instrText xml:space="preserve"> PAGEREF _Toc11135862 \h </w:instrText>
      </w:r>
      <w:r>
        <w:fldChar w:fldCharType="separate"/>
      </w:r>
      <w:r>
        <w:t>3</w:t>
      </w:r>
      <w:r>
        <w:fldChar w:fldCharType="end"/>
      </w:r>
    </w:p>
    <w:p w14:paraId="71A27C4F" w14:textId="040D266C" w:rsidR="00BA6C19" w:rsidRDefault="00BA6C19">
      <w:pPr>
        <w:pStyle w:val="TOC2"/>
        <w:rPr>
          <w:rFonts w:eastAsiaTheme="minorEastAsia"/>
          <w:i w:val="0"/>
          <w:sz w:val="22"/>
        </w:rPr>
      </w:pPr>
      <w:r w:rsidRPr="00D979DD">
        <w:rPr>
          <w:color w:val="1F497D" w:themeColor="text2"/>
        </w:rPr>
        <w:t>Section C: Alignment and Measures of Success</w:t>
      </w:r>
      <w:r>
        <w:tab/>
      </w:r>
      <w:r>
        <w:fldChar w:fldCharType="begin"/>
      </w:r>
      <w:r>
        <w:instrText xml:space="preserve"> PAGEREF _Toc11135863 \h </w:instrText>
      </w:r>
      <w:r>
        <w:fldChar w:fldCharType="separate"/>
      </w:r>
      <w:r>
        <w:t>4</w:t>
      </w:r>
      <w:r>
        <w:fldChar w:fldCharType="end"/>
      </w:r>
    </w:p>
    <w:p w14:paraId="0187E36E" w14:textId="03A04CA8" w:rsidR="00BA6C19" w:rsidRDefault="00BA6C19">
      <w:pPr>
        <w:pStyle w:val="TOC3"/>
        <w:tabs>
          <w:tab w:val="right" w:leader="dot" w:pos="9350"/>
        </w:tabs>
        <w:rPr>
          <w:rFonts w:eastAsiaTheme="minorEastAsia"/>
          <w:noProof/>
          <w:sz w:val="22"/>
        </w:rPr>
      </w:pPr>
      <w:r>
        <w:rPr>
          <w:noProof/>
        </w:rPr>
        <w:t>Alignment</w:t>
      </w:r>
      <w:r>
        <w:rPr>
          <w:noProof/>
        </w:rPr>
        <w:tab/>
      </w:r>
      <w:r>
        <w:rPr>
          <w:noProof/>
        </w:rPr>
        <w:fldChar w:fldCharType="begin"/>
      </w:r>
      <w:r>
        <w:rPr>
          <w:noProof/>
        </w:rPr>
        <w:instrText xml:space="preserve"> PAGEREF _Toc11135864 \h </w:instrText>
      </w:r>
      <w:r>
        <w:rPr>
          <w:noProof/>
        </w:rPr>
      </w:r>
      <w:r>
        <w:rPr>
          <w:noProof/>
        </w:rPr>
        <w:fldChar w:fldCharType="separate"/>
      </w:r>
      <w:r>
        <w:rPr>
          <w:noProof/>
        </w:rPr>
        <w:t>4</w:t>
      </w:r>
      <w:r>
        <w:rPr>
          <w:noProof/>
        </w:rPr>
        <w:fldChar w:fldCharType="end"/>
      </w:r>
    </w:p>
    <w:p w14:paraId="552CB439" w14:textId="2BA9FC29" w:rsidR="00BA6C19" w:rsidRDefault="00BA6C19">
      <w:pPr>
        <w:pStyle w:val="TOC3"/>
        <w:tabs>
          <w:tab w:val="right" w:leader="dot" w:pos="9350"/>
        </w:tabs>
        <w:rPr>
          <w:rFonts w:eastAsiaTheme="minorEastAsia"/>
          <w:noProof/>
          <w:sz w:val="22"/>
        </w:rPr>
      </w:pPr>
      <w:r>
        <w:rPr>
          <w:noProof/>
        </w:rPr>
        <w:t>Measures of Success</w:t>
      </w:r>
      <w:r>
        <w:rPr>
          <w:noProof/>
        </w:rPr>
        <w:tab/>
      </w:r>
      <w:r>
        <w:rPr>
          <w:noProof/>
        </w:rPr>
        <w:fldChar w:fldCharType="begin"/>
      </w:r>
      <w:r>
        <w:rPr>
          <w:noProof/>
        </w:rPr>
        <w:instrText xml:space="preserve"> PAGEREF _Toc11135865 \h </w:instrText>
      </w:r>
      <w:r>
        <w:rPr>
          <w:noProof/>
        </w:rPr>
      </w:r>
      <w:r>
        <w:rPr>
          <w:noProof/>
        </w:rPr>
        <w:fldChar w:fldCharType="separate"/>
      </w:r>
      <w:r>
        <w:rPr>
          <w:noProof/>
        </w:rPr>
        <w:t>5</w:t>
      </w:r>
      <w:r>
        <w:rPr>
          <w:noProof/>
        </w:rPr>
        <w:fldChar w:fldCharType="end"/>
      </w:r>
    </w:p>
    <w:p w14:paraId="2F0AD091" w14:textId="42F8DB6C" w:rsidR="00BA6C19" w:rsidRDefault="00BA6C19">
      <w:pPr>
        <w:pStyle w:val="TOC2"/>
        <w:rPr>
          <w:rFonts w:eastAsiaTheme="minorEastAsia"/>
          <w:i w:val="0"/>
          <w:sz w:val="22"/>
        </w:rPr>
      </w:pPr>
      <w:r>
        <w:t>Section D: Offerings and Process</w:t>
      </w:r>
      <w:r>
        <w:tab/>
      </w:r>
      <w:r>
        <w:fldChar w:fldCharType="begin"/>
      </w:r>
      <w:r>
        <w:instrText xml:space="preserve"> PAGEREF _Toc11135866 \h </w:instrText>
      </w:r>
      <w:r>
        <w:fldChar w:fldCharType="separate"/>
      </w:r>
      <w:r>
        <w:t>6</w:t>
      </w:r>
      <w:r>
        <w:fldChar w:fldCharType="end"/>
      </w:r>
    </w:p>
    <w:p w14:paraId="4CF01228" w14:textId="7854C66E" w:rsidR="00BA6C19" w:rsidRDefault="00BA6C19">
      <w:pPr>
        <w:pStyle w:val="TOC3"/>
        <w:tabs>
          <w:tab w:val="right" w:leader="dot" w:pos="9350"/>
        </w:tabs>
        <w:rPr>
          <w:rFonts w:eastAsiaTheme="minorEastAsia"/>
          <w:noProof/>
          <w:sz w:val="22"/>
        </w:rPr>
      </w:pPr>
      <w:r>
        <w:rPr>
          <w:noProof/>
        </w:rPr>
        <w:t>Offerings</w:t>
      </w:r>
      <w:r>
        <w:rPr>
          <w:noProof/>
        </w:rPr>
        <w:tab/>
      </w:r>
      <w:r>
        <w:rPr>
          <w:noProof/>
        </w:rPr>
        <w:fldChar w:fldCharType="begin"/>
      </w:r>
      <w:r>
        <w:rPr>
          <w:noProof/>
        </w:rPr>
        <w:instrText xml:space="preserve"> PAGEREF _Toc11135867 \h </w:instrText>
      </w:r>
      <w:r>
        <w:rPr>
          <w:noProof/>
        </w:rPr>
      </w:r>
      <w:r>
        <w:rPr>
          <w:noProof/>
        </w:rPr>
        <w:fldChar w:fldCharType="separate"/>
      </w:r>
      <w:r>
        <w:rPr>
          <w:noProof/>
        </w:rPr>
        <w:t>6</w:t>
      </w:r>
      <w:r>
        <w:rPr>
          <w:noProof/>
        </w:rPr>
        <w:fldChar w:fldCharType="end"/>
      </w:r>
    </w:p>
    <w:p w14:paraId="30F56D50" w14:textId="69A07AA6" w:rsidR="00BA6C19" w:rsidRDefault="00BA6C19">
      <w:pPr>
        <w:pStyle w:val="TOC3"/>
        <w:tabs>
          <w:tab w:val="right" w:leader="dot" w:pos="9350"/>
        </w:tabs>
        <w:rPr>
          <w:rFonts w:eastAsiaTheme="minorEastAsia"/>
          <w:noProof/>
          <w:sz w:val="22"/>
        </w:rPr>
      </w:pPr>
      <w:r>
        <w:rPr>
          <w:noProof/>
        </w:rPr>
        <w:t>Process</w:t>
      </w:r>
      <w:r>
        <w:rPr>
          <w:noProof/>
        </w:rPr>
        <w:tab/>
      </w:r>
      <w:r>
        <w:rPr>
          <w:noProof/>
        </w:rPr>
        <w:fldChar w:fldCharType="begin"/>
      </w:r>
      <w:r>
        <w:rPr>
          <w:noProof/>
        </w:rPr>
        <w:instrText xml:space="preserve"> PAGEREF _Toc11135868 \h </w:instrText>
      </w:r>
      <w:r>
        <w:rPr>
          <w:noProof/>
        </w:rPr>
      </w:r>
      <w:r>
        <w:rPr>
          <w:noProof/>
        </w:rPr>
        <w:fldChar w:fldCharType="separate"/>
      </w:r>
      <w:r>
        <w:rPr>
          <w:noProof/>
        </w:rPr>
        <w:t>7</w:t>
      </w:r>
      <w:r>
        <w:rPr>
          <w:noProof/>
        </w:rPr>
        <w:fldChar w:fldCharType="end"/>
      </w:r>
    </w:p>
    <w:p w14:paraId="526F554D" w14:textId="38175697" w:rsidR="00BA6C19" w:rsidRDefault="00BA6C19">
      <w:pPr>
        <w:pStyle w:val="TOC2"/>
        <w:rPr>
          <w:rFonts w:eastAsiaTheme="minorEastAsia"/>
          <w:i w:val="0"/>
          <w:sz w:val="22"/>
        </w:rPr>
      </w:pPr>
      <w:r w:rsidRPr="00D979DD">
        <w:rPr>
          <w:color w:val="1F497D" w:themeColor="text2"/>
        </w:rPr>
        <w:t>Section E: Differentiation</w:t>
      </w:r>
      <w:r>
        <w:tab/>
      </w:r>
      <w:r>
        <w:fldChar w:fldCharType="begin"/>
      </w:r>
      <w:r>
        <w:instrText xml:space="preserve"> PAGEREF _Toc11135869 \h </w:instrText>
      </w:r>
      <w:r>
        <w:fldChar w:fldCharType="separate"/>
      </w:r>
      <w:r>
        <w:t>8</w:t>
      </w:r>
      <w:r>
        <w:fldChar w:fldCharType="end"/>
      </w:r>
    </w:p>
    <w:p w14:paraId="6B9CF5FA" w14:textId="12E1D3F4" w:rsidR="00ED2F71" w:rsidRDefault="005A33C4" w:rsidP="0097255C">
      <w:pPr>
        <w:pStyle w:val="ToCMainSection"/>
      </w:pPr>
      <w:r w:rsidRPr="00D4502F">
        <w:fldChar w:fldCharType="end"/>
      </w:r>
    </w:p>
    <w:p w14:paraId="146213F9" w14:textId="77777777" w:rsidR="0009238B" w:rsidRDefault="0009238B" w:rsidP="00C57CD2">
      <w:pPr>
        <w:pStyle w:val="RIDEH1"/>
        <w:sectPr w:rsidR="0009238B" w:rsidSect="00EB7C77">
          <w:footerReference w:type="first" r:id="rId17"/>
          <w:pgSz w:w="12240" w:h="15840"/>
          <w:pgMar w:top="1440" w:right="1440" w:bottom="1440" w:left="1440" w:header="720" w:footer="300" w:gutter="0"/>
          <w:pgNumType w:fmt="lowerRoman" w:start="1"/>
          <w:cols w:space="720"/>
          <w:docGrid w:linePitch="360"/>
        </w:sectPr>
      </w:pPr>
      <w:bookmarkStart w:id="4" w:name="LogosColorsTemplates"/>
      <w:bookmarkStart w:id="5" w:name="_Toc6834054"/>
      <w:bookmarkEnd w:id="4"/>
    </w:p>
    <w:p w14:paraId="4D5D4819" w14:textId="4E75B308" w:rsidR="00C57CD2" w:rsidRPr="00D103B2" w:rsidRDefault="00C57CD2" w:rsidP="00A84692">
      <w:pPr>
        <w:pStyle w:val="RIDEH2"/>
      </w:pPr>
      <w:bookmarkStart w:id="6" w:name="_Toc7783248"/>
      <w:bookmarkStart w:id="7" w:name="_Toc11135856"/>
      <w:r>
        <w:lastRenderedPageBreak/>
        <w:t>Introduction</w:t>
      </w:r>
      <w:bookmarkEnd w:id="5"/>
      <w:bookmarkEnd w:id="6"/>
      <w:bookmarkEnd w:id="7"/>
    </w:p>
    <w:p w14:paraId="71929215" w14:textId="24E4D009" w:rsidR="0058243A" w:rsidRPr="00515C4F" w:rsidRDefault="0058243A" w:rsidP="0058243A">
      <w:pPr>
        <w:jc w:val="both"/>
      </w:pPr>
      <w:bookmarkStart w:id="8" w:name="AgencyLogos"/>
      <w:bookmarkStart w:id="9" w:name="RIDELogo"/>
      <w:bookmarkStart w:id="10" w:name="OfficeProgramLogos"/>
      <w:bookmarkEnd w:id="8"/>
      <w:bookmarkEnd w:id="9"/>
      <w:bookmarkEnd w:id="10"/>
      <w:r w:rsidRPr="00515C4F">
        <w:t xml:space="preserve">In Rhode Island, </w:t>
      </w:r>
      <w:r>
        <w:t>each</w:t>
      </w:r>
      <w:r w:rsidRPr="00515C4F">
        <w:t xml:space="preserve"> district should offer professional learning experiences to help every educator contribute to the success of children in accordance with the vision of the district. Following a process to develop a professional learning plan can be a key </w:t>
      </w:r>
      <w:r>
        <w:t>method to align</w:t>
      </w:r>
      <w:r w:rsidRPr="00515C4F">
        <w:t xml:space="preserve"> the objectives of professional learning with district vision, and thinking through </w:t>
      </w:r>
      <w:r w:rsidRPr="004F0336">
        <w:t xml:space="preserve">the process of </w:t>
      </w:r>
      <w:r w:rsidRPr="00515C4F">
        <w:t>how those offerings can be con</w:t>
      </w:r>
      <w:r>
        <w:t>tinuously refined to maximize a positive</w:t>
      </w:r>
      <w:r w:rsidRPr="00515C4F">
        <w:t xml:space="preserve"> impact on practice.</w:t>
      </w:r>
    </w:p>
    <w:p w14:paraId="1EFB3454" w14:textId="77777777" w:rsidR="0058243A" w:rsidRPr="00FA16D1" w:rsidRDefault="0058243A" w:rsidP="0058243A">
      <w:pPr>
        <w:jc w:val="both"/>
        <w:rPr>
          <w:spacing w:val="-2"/>
        </w:rPr>
      </w:pPr>
      <w:r w:rsidRPr="00FA16D1">
        <w:rPr>
          <w:spacing w:val="-2"/>
        </w:rPr>
        <w:t xml:space="preserve">Four kinds of professional learning units </w:t>
      </w:r>
      <w:r>
        <w:rPr>
          <w:spacing w:val="-2"/>
        </w:rPr>
        <w:t xml:space="preserve">(PLUs) </w:t>
      </w:r>
      <w:r w:rsidRPr="00FA16D1">
        <w:rPr>
          <w:spacing w:val="-2"/>
        </w:rPr>
        <w:t>are available to educators. The four kinds are those that:</w:t>
      </w:r>
    </w:p>
    <w:p w14:paraId="2613485E" w14:textId="77777777" w:rsidR="0058243A" w:rsidRPr="000641CA" w:rsidRDefault="0058243A" w:rsidP="0058243A">
      <w:pPr>
        <w:pStyle w:val="ListParagraph"/>
        <w:numPr>
          <w:ilvl w:val="0"/>
          <w:numId w:val="9"/>
        </w:numPr>
        <w:jc w:val="both"/>
      </w:pPr>
      <w:r w:rsidRPr="000641CA">
        <w:t xml:space="preserve">Enhance educator effectiveness, </w:t>
      </w:r>
    </w:p>
    <w:p w14:paraId="4CCC0D6C" w14:textId="77777777" w:rsidR="0058243A" w:rsidRPr="000641CA" w:rsidRDefault="0058243A" w:rsidP="0058243A">
      <w:pPr>
        <w:pStyle w:val="ListParagraph"/>
        <w:numPr>
          <w:ilvl w:val="0"/>
          <w:numId w:val="9"/>
        </w:numPr>
        <w:jc w:val="both"/>
      </w:pPr>
      <w:r w:rsidRPr="000641CA">
        <w:t xml:space="preserve">Build curricular implementation knowledge, </w:t>
      </w:r>
    </w:p>
    <w:p w14:paraId="4B2BC8D1" w14:textId="77777777" w:rsidR="0058243A" w:rsidRPr="000641CA" w:rsidRDefault="0058243A" w:rsidP="0058243A">
      <w:pPr>
        <w:pStyle w:val="ListParagraph"/>
        <w:numPr>
          <w:ilvl w:val="0"/>
          <w:numId w:val="9"/>
        </w:numPr>
        <w:jc w:val="both"/>
      </w:pPr>
      <w:r w:rsidRPr="000641CA">
        <w:t>Develop pedagogical knowledge, and/or</w:t>
      </w:r>
    </w:p>
    <w:p w14:paraId="69C3D8EF" w14:textId="77777777" w:rsidR="0058243A" w:rsidRPr="000641CA" w:rsidRDefault="0058243A" w:rsidP="0058243A">
      <w:pPr>
        <w:pStyle w:val="ListParagraph"/>
        <w:numPr>
          <w:ilvl w:val="0"/>
          <w:numId w:val="9"/>
        </w:numPr>
        <w:jc w:val="both"/>
      </w:pPr>
      <w:r w:rsidRPr="000641CA">
        <w:t xml:space="preserve">Deepen content knowledge. </w:t>
      </w:r>
    </w:p>
    <w:p w14:paraId="19662EF4" w14:textId="77777777" w:rsidR="0058243A" w:rsidRPr="00515C4F" w:rsidRDefault="0058243A" w:rsidP="0058243A">
      <w:pPr>
        <w:jc w:val="both"/>
      </w:pPr>
      <w:r w:rsidRPr="00515C4F">
        <w:t>Together, these experiences serve as the foundation for a well-supported team of educators with the common purpose of serving students.</w:t>
      </w:r>
    </w:p>
    <w:p w14:paraId="00241039" w14:textId="77777777" w:rsidR="0058243A" w:rsidRDefault="0058243A" w:rsidP="0058243A">
      <w:pPr>
        <w:jc w:val="both"/>
      </w:pPr>
      <w:r w:rsidRPr="00515C4F">
        <w:t xml:space="preserve">This template is to guide districts in the development of </w:t>
      </w:r>
      <w:r>
        <w:t>an LEA’s professional learning plan for educators</w:t>
      </w:r>
      <w:r w:rsidRPr="00515C4F">
        <w:t>, while also serving to ensure alignment with</w:t>
      </w:r>
      <w:r>
        <w:t xml:space="preserve"> the following</w:t>
      </w:r>
      <w:r w:rsidRPr="00515C4F">
        <w:t xml:space="preserve"> state regulations regard</w:t>
      </w:r>
      <w:r>
        <w:t>ing professional learning plans:</w:t>
      </w:r>
    </w:p>
    <w:p w14:paraId="65E3FC9B" w14:textId="77777777" w:rsidR="001961CB" w:rsidRDefault="001961CB" w:rsidP="001961CB">
      <w:pPr>
        <w:ind w:left="720"/>
        <w:jc w:val="both"/>
      </w:pPr>
      <w:r>
        <w:t>LEAs should develop, with employed educators, an LEA professional learning plan, including an operational definition of professional learning activities and the kinds of supports, at a minimum, that an LEA will provide, including time, opportunities, and resources to ensure that there are on-going, school-based activities.</w:t>
      </w:r>
    </w:p>
    <w:p w14:paraId="765EAEFB" w14:textId="77777777" w:rsidR="001961CB" w:rsidRDefault="001961CB" w:rsidP="001961CB">
      <w:pPr>
        <w:ind w:left="720"/>
        <w:jc w:val="both"/>
      </w:pPr>
      <w:r>
        <w:t>LEAs will identify the needs and interests of all educators based on an analysis of student data, educator evaluation, surveys, and needs assessments. The plan will align to district strategic plans, school improvement plans, and educators’ surveys. The plan will provide examples of allowable professional learning activities.</w:t>
      </w:r>
    </w:p>
    <w:p w14:paraId="296BC9DF" w14:textId="77777777" w:rsidR="001961CB" w:rsidRDefault="001961CB" w:rsidP="001961CB">
      <w:pPr>
        <w:ind w:left="720"/>
        <w:jc w:val="both"/>
      </w:pPr>
      <w:r>
        <w:t>Each plan will include a process for approving professional learning activities, including how a professional learning unit (PLU) is credited and how the LEA will resolve disputes should they arise.</w:t>
      </w:r>
    </w:p>
    <w:p w14:paraId="272C3F10" w14:textId="77777777" w:rsidR="001961CB" w:rsidRDefault="001961CB" w:rsidP="001961CB">
      <w:pPr>
        <w:ind w:left="720"/>
        <w:jc w:val="both"/>
      </w:pPr>
      <w:r>
        <w:t>Plans will differentiate opportunities, as needed, by teachers’, administrators’, and support professionals’ certificate areas in order to ensure relevance.</w:t>
      </w:r>
    </w:p>
    <w:p w14:paraId="1A26B5B4" w14:textId="18299F38" w:rsidR="0058243A" w:rsidRPr="00C57CD2" w:rsidRDefault="0058243A" w:rsidP="0058243A">
      <w:pPr>
        <w:jc w:val="both"/>
      </w:pPr>
      <w:r>
        <w:t>Answer each prompt fully, thereby ensuring alignment to Rhode Island regulation.</w:t>
      </w:r>
    </w:p>
    <w:p w14:paraId="4D765CA6" w14:textId="52F73BFC" w:rsidR="0058243A" w:rsidRDefault="00A408BD" w:rsidP="0058243A">
      <w:pPr>
        <w:pStyle w:val="RIDEH2"/>
        <w:rPr>
          <w:color w:val="1F497D" w:themeColor="text2"/>
        </w:rPr>
      </w:pPr>
      <w:bookmarkStart w:id="11" w:name="_Toc11135857"/>
      <w:r>
        <w:rPr>
          <w:color w:val="1F497D" w:themeColor="text2"/>
        </w:rPr>
        <w:lastRenderedPageBreak/>
        <w:t xml:space="preserve">LEA </w:t>
      </w:r>
      <w:r w:rsidR="0058243A">
        <w:rPr>
          <w:color w:val="1F497D" w:themeColor="text2"/>
        </w:rPr>
        <w:t>Contact(s) &amp; Role</w:t>
      </w:r>
      <w:bookmarkEnd w:id="11"/>
    </w:p>
    <w:p w14:paraId="50CD3A39" w14:textId="77777777" w:rsidR="0058243A" w:rsidRPr="0058243A" w:rsidRDefault="0058243A" w:rsidP="0058243A">
      <w:pPr>
        <w:rPr>
          <w:color w:val="4F81BD" w:themeColor="accent1"/>
        </w:rPr>
      </w:pPr>
      <w:r w:rsidRPr="0058243A">
        <w:rPr>
          <w:color w:val="4F81BD" w:themeColor="accent1"/>
        </w:rPr>
        <w:t xml:space="preserve">Prepared by Patricia L. </w:t>
      </w:r>
      <w:proofErr w:type="spellStart"/>
      <w:r w:rsidRPr="0058243A">
        <w:rPr>
          <w:color w:val="4F81BD" w:themeColor="accent1"/>
        </w:rPr>
        <w:t>Paxson</w:t>
      </w:r>
      <w:proofErr w:type="spellEnd"/>
      <w:r w:rsidRPr="0058243A">
        <w:rPr>
          <w:color w:val="4F81BD" w:themeColor="accent1"/>
        </w:rPr>
        <w:t xml:space="preserve">, </w:t>
      </w:r>
      <w:r w:rsidRPr="0058243A">
        <w:rPr>
          <w:i/>
          <w:color w:val="4F81BD" w:themeColor="accent1"/>
        </w:rPr>
        <w:t>Director of Professional Learning</w:t>
      </w:r>
      <w:r w:rsidRPr="0058243A">
        <w:rPr>
          <w:color w:val="4F81BD" w:themeColor="accent1"/>
        </w:rPr>
        <w:t xml:space="preserve"> | </w:t>
      </w:r>
      <w:hyperlink r:id="rId18" w:history="1">
        <w:r w:rsidRPr="0058243A">
          <w:rPr>
            <w:rStyle w:val="Hyperlink"/>
            <w:color w:val="4F81BD" w:themeColor="accent1"/>
          </w:rPr>
          <w:t>plp@mps.org</w:t>
        </w:r>
      </w:hyperlink>
      <w:r w:rsidRPr="0058243A">
        <w:rPr>
          <w:color w:val="4F81BD" w:themeColor="accent1"/>
        </w:rPr>
        <w:t xml:space="preserve"> | 401-555-5678</w:t>
      </w:r>
    </w:p>
    <w:p w14:paraId="6C3F8874" w14:textId="1EC1684D" w:rsidR="0058243A" w:rsidRDefault="00A408BD" w:rsidP="0058243A">
      <w:pPr>
        <w:pStyle w:val="RIDEH2"/>
        <w:rPr>
          <w:color w:val="1F497D" w:themeColor="text2"/>
        </w:rPr>
      </w:pPr>
      <w:bookmarkStart w:id="12" w:name="_Toc11135858"/>
      <w:r>
        <w:rPr>
          <w:color w:val="1F497D" w:themeColor="text2"/>
        </w:rPr>
        <w:t xml:space="preserve">LEA </w:t>
      </w:r>
      <w:r w:rsidR="0058243A">
        <w:rPr>
          <w:color w:val="1F497D" w:themeColor="text2"/>
        </w:rPr>
        <w:t>Professional Learning Goals</w:t>
      </w:r>
      <w:bookmarkEnd w:id="12"/>
    </w:p>
    <w:p w14:paraId="5C62AB9F" w14:textId="4703CF02" w:rsidR="0058243A" w:rsidRDefault="0058243A" w:rsidP="0058243A">
      <w:pPr>
        <w:jc w:val="both"/>
      </w:pPr>
      <w:r>
        <w:t xml:space="preserve">What are your </w:t>
      </w:r>
      <w:r w:rsidR="00A408BD">
        <w:t xml:space="preserve">LEA’s </w:t>
      </w:r>
      <w:r>
        <w:t xml:space="preserve">prioritized </w:t>
      </w:r>
      <w:r w:rsidR="00A408BD">
        <w:t>professional l</w:t>
      </w:r>
      <w:r>
        <w:t xml:space="preserve">earning </w:t>
      </w:r>
      <w:r w:rsidR="00A408BD">
        <w:t>g</w:t>
      </w:r>
      <w:r>
        <w:t>oals? Include timeframes for monitoring and/or achieving the goals.</w:t>
      </w:r>
    </w:p>
    <w:p w14:paraId="505ED8BD" w14:textId="2A6732CA" w:rsidR="0058243A" w:rsidRPr="0058243A" w:rsidRDefault="00A408BD" w:rsidP="0058243A">
      <w:pPr>
        <w:pStyle w:val="ListParagraph"/>
        <w:numPr>
          <w:ilvl w:val="0"/>
          <w:numId w:val="10"/>
        </w:numPr>
        <w:jc w:val="both"/>
        <w:rPr>
          <w:color w:val="4F81BD" w:themeColor="accent1"/>
        </w:rPr>
      </w:pPr>
      <w:r>
        <w:rPr>
          <w:color w:val="4F81BD" w:themeColor="accent1"/>
        </w:rPr>
        <w:t xml:space="preserve">By the end of the 2021 school year, </w:t>
      </w:r>
      <w:r w:rsidR="0058243A" w:rsidRPr="0058243A">
        <w:rPr>
          <w:color w:val="4F81BD" w:themeColor="accent1"/>
        </w:rPr>
        <w:t>100% of K-8 teachers receive the necessary training and support to successfully implement a new, high-quality math curriculum to provide effective, standards-aligned instruction.</w:t>
      </w:r>
    </w:p>
    <w:p w14:paraId="61ADACAA" w14:textId="77777777" w:rsidR="0058243A" w:rsidRPr="0058243A" w:rsidRDefault="0058243A" w:rsidP="0058243A">
      <w:pPr>
        <w:pStyle w:val="ListParagraph"/>
        <w:numPr>
          <w:ilvl w:val="1"/>
          <w:numId w:val="10"/>
        </w:numPr>
        <w:jc w:val="both"/>
        <w:rPr>
          <w:color w:val="4F81BD" w:themeColor="accent1"/>
        </w:rPr>
      </w:pPr>
      <w:r w:rsidRPr="0058243A">
        <w:rPr>
          <w:color w:val="4F81BD" w:themeColor="accent1"/>
        </w:rPr>
        <w:t>Progress to goal will be monitored quarterly, utilizing measures described below.</w:t>
      </w:r>
    </w:p>
    <w:p w14:paraId="5EC5E613" w14:textId="77777777" w:rsidR="0058243A" w:rsidRPr="0058243A" w:rsidRDefault="0058243A" w:rsidP="0058243A">
      <w:pPr>
        <w:pStyle w:val="ListParagraph"/>
        <w:numPr>
          <w:ilvl w:val="0"/>
          <w:numId w:val="10"/>
        </w:numPr>
        <w:jc w:val="both"/>
        <w:rPr>
          <w:color w:val="4F81BD" w:themeColor="accent1"/>
        </w:rPr>
      </w:pPr>
      <w:r w:rsidRPr="0058243A">
        <w:rPr>
          <w:color w:val="4F81BD" w:themeColor="accent1"/>
        </w:rPr>
        <w:t>Support new teachers such that 100% of educators in their first year with the district achieve proficiency in core areas of district vision for strong instruction and 90% of  educators accept offers for continued employment with the district.</w:t>
      </w:r>
    </w:p>
    <w:p w14:paraId="69184B74" w14:textId="77777777" w:rsidR="0058243A" w:rsidRPr="0058243A" w:rsidRDefault="0058243A" w:rsidP="0058243A">
      <w:pPr>
        <w:pStyle w:val="ListParagraph"/>
        <w:numPr>
          <w:ilvl w:val="1"/>
          <w:numId w:val="10"/>
        </w:numPr>
        <w:jc w:val="both"/>
        <w:rPr>
          <w:color w:val="4F81BD" w:themeColor="accent1"/>
        </w:rPr>
      </w:pPr>
      <w:r w:rsidRPr="0058243A">
        <w:rPr>
          <w:color w:val="4F81BD" w:themeColor="accent1"/>
        </w:rPr>
        <w:t>Progress to goal will be monitored quarterly, utilizing measures described below.</w:t>
      </w:r>
    </w:p>
    <w:p w14:paraId="2D32E5DF" w14:textId="1EB4B889" w:rsidR="00DB0734" w:rsidRPr="0058243A" w:rsidRDefault="00E45939" w:rsidP="00A84692">
      <w:pPr>
        <w:pStyle w:val="RIDEH2"/>
        <w:rPr>
          <w:color w:val="1F497D" w:themeColor="text2"/>
        </w:rPr>
      </w:pPr>
      <w:bookmarkStart w:id="13" w:name="_Toc7783252"/>
      <w:bookmarkStart w:id="14" w:name="_Toc11135859"/>
      <w:r w:rsidRPr="0058243A">
        <w:rPr>
          <w:color w:val="1F497D" w:themeColor="text2"/>
        </w:rPr>
        <w:t xml:space="preserve">Section </w:t>
      </w:r>
      <w:r w:rsidR="00C57CD2" w:rsidRPr="0058243A">
        <w:rPr>
          <w:color w:val="1F497D" w:themeColor="text2"/>
        </w:rPr>
        <w:t>A</w:t>
      </w:r>
      <w:r w:rsidR="00FE42BC" w:rsidRPr="0058243A">
        <w:rPr>
          <w:color w:val="1F497D" w:themeColor="text2"/>
        </w:rPr>
        <w:t>: Definition and Type of Support</w:t>
      </w:r>
      <w:bookmarkEnd w:id="13"/>
      <w:bookmarkEnd w:id="14"/>
    </w:p>
    <w:p w14:paraId="6B0487C2" w14:textId="755BAF3C" w:rsidR="00A95AD4" w:rsidRPr="0058243A" w:rsidRDefault="00A95AD4" w:rsidP="0058243A">
      <w:pPr>
        <w:pStyle w:val="RIDEH3"/>
      </w:pPr>
      <w:bookmarkStart w:id="15" w:name="_Toc7783253"/>
      <w:bookmarkStart w:id="16" w:name="_Toc11135860"/>
      <w:r w:rsidRPr="0058243A">
        <w:t>Definition</w:t>
      </w:r>
      <w:bookmarkEnd w:id="15"/>
      <w:bookmarkEnd w:id="16"/>
    </w:p>
    <w:p w14:paraId="3817E38A" w14:textId="6121C63D" w:rsidR="00C57CD2" w:rsidRPr="00C57CD2" w:rsidRDefault="00C57CD2" w:rsidP="00460F20">
      <w:pPr>
        <w:jc w:val="both"/>
      </w:pPr>
      <w:r w:rsidRPr="00C57CD2">
        <w:t>What is your operational definition of professional learning activities (district-approved activities)?</w:t>
      </w:r>
    </w:p>
    <w:p w14:paraId="1BE33AC2" w14:textId="6EE7BE0B" w:rsidR="00C57CD2" w:rsidRDefault="00C57CD2" w:rsidP="00460F20">
      <w:pPr>
        <w:pStyle w:val="Response"/>
        <w:jc w:val="both"/>
      </w:pPr>
      <w:r w:rsidRPr="00C57CD2">
        <w:t xml:space="preserve">Professional Learning Activities in our LEA are defined as having the following attributes: </w:t>
      </w:r>
    </w:p>
    <w:p w14:paraId="7751D374" w14:textId="46F60A17" w:rsidR="00C57CD2" w:rsidRPr="00C57CD2" w:rsidRDefault="00C57CD2" w:rsidP="00460F20">
      <w:pPr>
        <w:pStyle w:val="Response"/>
        <w:numPr>
          <w:ilvl w:val="0"/>
          <w:numId w:val="2"/>
        </w:numPr>
        <w:spacing w:before="60" w:after="0"/>
        <w:jc w:val="both"/>
      </w:pPr>
      <w:r w:rsidRPr="00C57CD2">
        <w:t>The educator and/or supervisor agree it advances an aspect of the educator’s practice</w:t>
      </w:r>
      <w:r w:rsidR="003730C8">
        <w:t>.</w:t>
      </w:r>
    </w:p>
    <w:p w14:paraId="7498076A" w14:textId="397E64F1" w:rsidR="00A95AD4" w:rsidRDefault="00C57CD2" w:rsidP="00460F20">
      <w:pPr>
        <w:pStyle w:val="Response"/>
        <w:numPr>
          <w:ilvl w:val="0"/>
          <w:numId w:val="2"/>
        </w:numPr>
        <w:spacing w:before="60" w:after="0"/>
        <w:jc w:val="both"/>
      </w:pPr>
      <w:r w:rsidRPr="00C57CD2">
        <w:t>The activity aligns to one or more elements in the educator’s evaluation system</w:t>
      </w:r>
      <w:r w:rsidR="003730C8">
        <w:t>.</w:t>
      </w:r>
    </w:p>
    <w:p w14:paraId="52CDB6F3" w14:textId="4980C50A" w:rsidR="00A95AD4" w:rsidRPr="00A95AD4" w:rsidRDefault="00C57CD2" w:rsidP="00460F20">
      <w:pPr>
        <w:pStyle w:val="Response"/>
        <w:numPr>
          <w:ilvl w:val="0"/>
          <w:numId w:val="2"/>
        </w:numPr>
        <w:spacing w:before="60" w:after="0"/>
        <w:jc w:val="both"/>
      </w:pPr>
      <w:r w:rsidRPr="00A95AD4">
        <w:t>Verification of the educator’s participation is available</w:t>
      </w:r>
      <w:r w:rsidR="003730C8">
        <w:t>.</w:t>
      </w:r>
      <w:r w:rsidRPr="00A95AD4">
        <w:t xml:space="preserve"> </w:t>
      </w:r>
    </w:p>
    <w:p w14:paraId="6B3B60E9" w14:textId="7A7AC468" w:rsidR="00A95AD4" w:rsidRDefault="00A95AD4" w:rsidP="00460F20">
      <w:pPr>
        <w:jc w:val="both"/>
      </w:pPr>
      <w:r>
        <w:t>What process was used to develop this professional learning plan with employed educators?</w:t>
      </w:r>
    </w:p>
    <w:p w14:paraId="7C116E29" w14:textId="1802F6EC" w:rsidR="00C57CD2" w:rsidRPr="00A95AD4" w:rsidRDefault="00A95AD4" w:rsidP="00460F20">
      <w:pPr>
        <w:pStyle w:val="Response"/>
        <w:jc w:val="both"/>
      </w:pPr>
      <w:r w:rsidRPr="00C57CD2">
        <w:t xml:space="preserve">Data review (sources identified in Section B) led to a draft set of offerings that was vetted with the teacher union leadership, District Evaluation Committee (DEC), and site administrators. </w:t>
      </w:r>
    </w:p>
    <w:p w14:paraId="69D9DAC8" w14:textId="77777777" w:rsidR="0058243A" w:rsidRDefault="0058243A" w:rsidP="0058243A">
      <w:pPr>
        <w:pStyle w:val="RIDEH3"/>
      </w:pPr>
      <w:bookmarkStart w:id="17" w:name="_Toc7783254"/>
    </w:p>
    <w:p w14:paraId="0F296394" w14:textId="2C2D887C" w:rsidR="00FE42BC" w:rsidRPr="00FE42BC" w:rsidRDefault="00A95AD4" w:rsidP="0058243A">
      <w:pPr>
        <w:pStyle w:val="RIDEH3"/>
      </w:pPr>
      <w:bookmarkStart w:id="18" w:name="_Toc11135861"/>
      <w:r>
        <w:lastRenderedPageBreak/>
        <w:t>Type of Support</w:t>
      </w:r>
      <w:bookmarkEnd w:id="17"/>
      <w:bookmarkEnd w:id="18"/>
    </w:p>
    <w:p w14:paraId="1D29273F" w14:textId="77777777" w:rsidR="005A33C4" w:rsidRPr="00917F4D" w:rsidRDefault="005A33C4" w:rsidP="0058243A">
      <w:pPr>
        <w:jc w:val="both"/>
      </w:pPr>
      <w:r w:rsidRPr="00917F4D">
        <w:t xml:space="preserve">What </w:t>
      </w:r>
      <w:r>
        <w:t>kinds of supports, at a minimum, will your LEA provide to support on-going, school-based professional learning activities?</w:t>
      </w:r>
    </w:p>
    <w:tbl>
      <w:tblPr>
        <w:tblStyle w:val="TableGrid"/>
        <w:tblW w:w="9350"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3116"/>
        <w:gridCol w:w="3117"/>
        <w:gridCol w:w="3117"/>
      </w:tblGrid>
      <w:tr w:rsidR="005641C6" w:rsidRPr="00F76E79" w14:paraId="63BC7D2A" w14:textId="77777777" w:rsidTr="005641C6">
        <w:trPr>
          <w:jc w:val="center"/>
        </w:trPr>
        <w:tc>
          <w:tcPr>
            <w:tcW w:w="3116" w:type="dxa"/>
            <w:shd w:val="clear" w:color="auto" w:fill="517CA6"/>
            <w:vAlign w:val="center"/>
          </w:tcPr>
          <w:p w14:paraId="600992C4" w14:textId="5F0D7EC0" w:rsidR="005641C6" w:rsidRPr="00F76E79" w:rsidRDefault="005641C6" w:rsidP="005641C6">
            <w:pPr>
              <w:spacing w:before="0" w:after="0"/>
              <w:jc w:val="center"/>
              <w:rPr>
                <w:b/>
                <w:color w:val="FFFFFF" w:themeColor="background1"/>
                <w:szCs w:val="24"/>
              </w:rPr>
            </w:pPr>
            <w:r w:rsidRPr="00F76E79">
              <w:rPr>
                <w:b/>
                <w:color w:val="FFFFFF" w:themeColor="background1"/>
                <w:szCs w:val="24"/>
              </w:rPr>
              <w:t>Time</w:t>
            </w:r>
          </w:p>
        </w:tc>
        <w:tc>
          <w:tcPr>
            <w:tcW w:w="3117" w:type="dxa"/>
            <w:shd w:val="clear" w:color="auto" w:fill="517CA6"/>
            <w:vAlign w:val="center"/>
          </w:tcPr>
          <w:p w14:paraId="17997C8F" w14:textId="674091F6" w:rsidR="005641C6" w:rsidRPr="00F76E79" w:rsidRDefault="005641C6" w:rsidP="005641C6">
            <w:pPr>
              <w:spacing w:before="0" w:after="0"/>
              <w:jc w:val="center"/>
              <w:rPr>
                <w:szCs w:val="24"/>
              </w:rPr>
            </w:pPr>
            <w:r w:rsidRPr="00F76E79">
              <w:rPr>
                <w:b/>
                <w:color w:val="FFFFFF" w:themeColor="background1"/>
                <w:szCs w:val="24"/>
              </w:rPr>
              <w:t>Opportunities</w:t>
            </w:r>
          </w:p>
        </w:tc>
        <w:tc>
          <w:tcPr>
            <w:tcW w:w="3117" w:type="dxa"/>
            <w:shd w:val="clear" w:color="auto" w:fill="517CA6"/>
            <w:vAlign w:val="center"/>
          </w:tcPr>
          <w:p w14:paraId="764C2F38" w14:textId="2E2BB1AF" w:rsidR="005641C6" w:rsidRPr="00F76E79" w:rsidRDefault="005641C6" w:rsidP="005641C6">
            <w:pPr>
              <w:spacing w:before="0" w:after="0" w:line="240" w:lineRule="auto"/>
              <w:jc w:val="center"/>
              <w:rPr>
                <w:b/>
                <w:color w:val="FFFFFF" w:themeColor="background1"/>
                <w:szCs w:val="24"/>
              </w:rPr>
            </w:pPr>
            <w:r w:rsidRPr="00F76E79">
              <w:rPr>
                <w:b/>
                <w:color w:val="FFFFFF" w:themeColor="background1"/>
                <w:szCs w:val="24"/>
              </w:rPr>
              <w:t>Resources</w:t>
            </w:r>
          </w:p>
        </w:tc>
      </w:tr>
      <w:tr w:rsidR="005641C6" w:rsidRPr="00F76E79" w14:paraId="2B00BA56" w14:textId="77777777" w:rsidTr="005641C6">
        <w:trPr>
          <w:jc w:val="center"/>
        </w:trPr>
        <w:tc>
          <w:tcPr>
            <w:tcW w:w="3116" w:type="dxa"/>
          </w:tcPr>
          <w:p w14:paraId="02CFEAC6" w14:textId="779CF8C0" w:rsidR="005641C6" w:rsidRPr="00F76E79" w:rsidRDefault="005641C6" w:rsidP="005A33C4">
            <w:pPr>
              <w:pStyle w:val="ListParagraph"/>
              <w:numPr>
                <w:ilvl w:val="0"/>
                <w:numId w:val="1"/>
              </w:numPr>
              <w:spacing w:before="0" w:after="0"/>
              <w:ind w:left="250" w:hanging="250"/>
              <w:rPr>
                <w:color w:val="4F81BD" w:themeColor="accent1"/>
                <w:szCs w:val="24"/>
              </w:rPr>
            </w:pPr>
            <w:r w:rsidRPr="00F76E79">
              <w:rPr>
                <w:color w:val="4F81BD" w:themeColor="accent1"/>
                <w:szCs w:val="24"/>
              </w:rPr>
              <w:t>We have 3 days dedicated to professional learning during the year.</w:t>
            </w:r>
          </w:p>
          <w:p w14:paraId="267EB3C5" w14:textId="0D5F9892" w:rsidR="005641C6" w:rsidRPr="00F76E79" w:rsidRDefault="005641C6" w:rsidP="005A33C4">
            <w:pPr>
              <w:pStyle w:val="ListParagraph"/>
              <w:numPr>
                <w:ilvl w:val="0"/>
                <w:numId w:val="1"/>
              </w:numPr>
              <w:spacing w:before="0" w:after="0"/>
              <w:ind w:left="250" w:hanging="250"/>
              <w:rPr>
                <w:color w:val="4F81BD" w:themeColor="accent1"/>
                <w:szCs w:val="24"/>
              </w:rPr>
            </w:pPr>
            <w:r w:rsidRPr="00F76E79">
              <w:rPr>
                <w:color w:val="4F81BD" w:themeColor="accent1"/>
                <w:szCs w:val="24"/>
              </w:rPr>
              <w:t>We offer optional afternoon and Saturday professional learning sessions.</w:t>
            </w:r>
          </w:p>
        </w:tc>
        <w:tc>
          <w:tcPr>
            <w:tcW w:w="3117" w:type="dxa"/>
          </w:tcPr>
          <w:p w14:paraId="4B0A2F52" w14:textId="7BC16E7E" w:rsidR="005641C6" w:rsidRPr="00F76E79" w:rsidRDefault="005641C6" w:rsidP="005A33C4">
            <w:pPr>
              <w:pStyle w:val="ListParagraph"/>
              <w:numPr>
                <w:ilvl w:val="0"/>
                <w:numId w:val="1"/>
              </w:numPr>
              <w:spacing w:before="0" w:after="0"/>
              <w:ind w:left="280" w:hanging="280"/>
              <w:rPr>
                <w:color w:val="4F81BD" w:themeColor="accent1"/>
                <w:szCs w:val="24"/>
              </w:rPr>
            </w:pPr>
            <w:r w:rsidRPr="00F76E79">
              <w:rPr>
                <w:color w:val="4F81BD" w:themeColor="accent1"/>
                <w:szCs w:val="24"/>
              </w:rPr>
              <w:t>Educators can apply for competitive grant programs to participate in additional professional learning activities.</w:t>
            </w:r>
          </w:p>
          <w:p w14:paraId="728D4452" w14:textId="12132B98" w:rsidR="005641C6" w:rsidRPr="00F76E79" w:rsidRDefault="005641C6" w:rsidP="005A33C4">
            <w:pPr>
              <w:pStyle w:val="ListParagraph"/>
              <w:numPr>
                <w:ilvl w:val="0"/>
                <w:numId w:val="1"/>
              </w:numPr>
              <w:spacing w:before="0" w:after="0" w:line="240" w:lineRule="auto"/>
              <w:ind w:left="280" w:hanging="280"/>
              <w:rPr>
                <w:color w:val="4F81BD" w:themeColor="accent1"/>
                <w:szCs w:val="24"/>
              </w:rPr>
            </w:pPr>
            <w:r w:rsidRPr="00F76E79">
              <w:rPr>
                <w:color w:val="4F81BD" w:themeColor="accent1"/>
                <w:szCs w:val="24"/>
              </w:rPr>
              <w:t>The LEA has a set of required and optional professional learning sessions offered throughout the year.</w:t>
            </w:r>
          </w:p>
        </w:tc>
        <w:tc>
          <w:tcPr>
            <w:tcW w:w="3117" w:type="dxa"/>
          </w:tcPr>
          <w:p w14:paraId="45F36124" w14:textId="683802C3" w:rsidR="005641C6" w:rsidRPr="00F76E79" w:rsidRDefault="005641C6" w:rsidP="005A33C4">
            <w:pPr>
              <w:pStyle w:val="ListParagraph"/>
              <w:numPr>
                <w:ilvl w:val="0"/>
                <w:numId w:val="1"/>
              </w:numPr>
              <w:spacing w:before="0" w:after="0"/>
              <w:ind w:left="220" w:hanging="220"/>
              <w:rPr>
                <w:color w:val="4F81BD" w:themeColor="accent1"/>
                <w:szCs w:val="24"/>
              </w:rPr>
            </w:pPr>
            <w:r w:rsidRPr="00F76E79">
              <w:rPr>
                <w:color w:val="4F81BD" w:themeColor="accent1"/>
                <w:szCs w:val="24"/>
              </w:rPr>
              <w:t>The LEA has funded a professional learning coordinator and site-level coaches to provide professional learning.</w:t>
            </w:r>
          </w:p>
          <w:p w14:paraId="3082F513" w14:textId="52B25489" w:rsidR="005641C6" w:rsidRPr="00F76E79" w:rsidRDefault="005641C6" w:rsidP="005A33C4">
            <w:pPr>
              <w:pStyle w:val="ListParagraph"/>
              <w:numPr>
                <w:ilvl w:val="0"/>
                <w:numId w:val="1"/>
              </w:numPr>
              <w:spacing w:before="0" w:after="0" w:line="240" w:lineRule="auto"/>
              <w:ind w:left="220" w:hanging="220"/>
              <w:rPr>
                <w:color w:val="4F81BD" w:themeColor="accent1"/>
                <w:szCs w:val="24"/>
              </w:rPr>
            </w:pPr>
            <w:r w:rsidRPr="00F76E79">
              <w:rPr>
                <w:color w:val="4F81BD" w:themeColor="accent1"/>
                <w:szCs w:val="24"/>
              </w:rPr>
              <w:t>School sites are given a budget allotment for professional learning.</w:t>
            </w:r>
          </w:p>
        </w:tc>
      </w:tr>
    </w:tbl>
    <w:p w14:paraId="708DFBCF" w14:textId="181EEC92" w:rsidR="00917F4D" w:rsidRPr="0058243A" w:rsidRDefault="00917F4D" w:rsidP="00F76E79">
      <w:pPr>
        <w:pStyle w:val="RIDEH2"/>
        <w:rPr>
          <w:color w:val="1F497D" w:themeColor="text2"/>
        </w:rPr>
      </w:pPr>
      <w:bookmarkStart w:id="19" w:name="_Toc7783255"/>
      <w:bookmarkStart w:id="20" w:name="_Toc11135862"/>
      <w:r w:rsidRPr="0058243A">
        <w:rPr>
          <w:color w:val="1F497D" w:themeColor="text2"/>
        </w:rPr>
        <w:t>Section B</w:t>
      </w:r>
      <w:r w:rsidR="00FE42BC" w:rsidRPr="0058243A">
        <w:rPr>
          <w:color w:val="1F497D" w:themeColor="text2"/>
        </w:rPr>
        <w:t>: Data Analysis</w:t>
      </w:r>
      <w:bookmarkEnd w:id="19"/>
      <w:bookmarkEnd w:id="20"/>
    </w:p>
    <w:p w14:paraId="5AECE9BD" w14:textId="30C4654C" w:rsidR="00C57CD2" w:rsidRDefault="00917F4D" w:rsidP="00F76E79">
      <w:r>
        <w:t>What kind of data did you analyze to identify the needs and interests of educators?</w:t>
      </w:r>
    </w:p>
    <w:tbl>
      <w:tblPr>
        <w:tblStyle w:val="TableGrid"/>
        <w:tblW w:w="7717"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2725"/>
        <w:gridCol w:w="1632"/>
        <w:gridCol w:w="1723"/>
        <w:gridCol w:w="1637"/>
      </w:tblGrid>
      <w:tr w:rsidR="001961CB" w:rsidRPr="00F76E79" w14:paraId="0FEDFD70" w14:textId="77777777" w:rsidTr="001961CB">
        <w:trPr>
          <w:jc w:val="center"/>
        </w:trPr>
        <w:tc>
          <w:tcPr>
            <w:tcW w:w="2725" w:type="dxa"/>
            <w:shd w:val="clear" w:color="auto" w:fill="517CA6"/>
            <w:vAlign w:val="center"/>
          </w:tcPr>
          <w:p w14:paraId="7A50A940" w14:textId="36BD3A7E" w:rsidR="001961CB" w:rsidRPr="00F76E79" w:rsidRDefault="001961CB" w:rsidP="00A92FCA">
            <w:pPr>
              <w:spacing w:before="0" w:after="0"/>
              <w:jc w:val="center"/>
              <w:rPr>
                <w:b/>
                <w:color w:val="FFFFFF" w:themeColor="background1"/>
                <w:szCs w:val="24"/>
              </w:rPr>
            </w:pPr>
            <w:r w:rsidRPr="00F76E79">
              <w:rPr>
                <w:b/>
                <w:color w:val="FFFFFF" w:themeColor="background1"/>
                <w:szCs w:val="24"/>
              </w:rPr>
              <w:t>Types of Data Analyzed</w:t>
            </w:r>
          </w:p>
        </w:tc>
        <w:tc>
          <w:tcPr>
            <w:tcW w:w="1632" w:type="dxa"/>
            <w:shd w:val="clear" w:color="auto" w:fill="517CA6"/>
            <w:vAlign w:val="center"/>
          </w:tcPr>
          <w:p w14:paraId="781DE3AC" w14:textId="1AC59A50" w:rsidR="001961CB" w:rsidRPr="00F76E79" w:rsidRDefault="001961CB" w:rsidP="00A92FCA">
            <w:pPr>
              <w:spacing w:before="0" w:after="0"/>
              <w:jc w:val="center"/>
              <w:rPr>
                <w:b/>
                <w:color w:val="FFFFFF" w:themeColor="background1"/>
                <w:szCs w:val="24"/>
              </w:rPr>
            </w:pPr>
            <w:r>
              <w:rPr>
                <w:b/>
                <w:color w:val="FFFFFF" w:themeColor="background1"/>
                <w:szCs w:val="24"/>
              </w:rPr>
              <w:t>Teachers</w:t>
            </w:r>
          </w:p>
        </w:tc>
        <w:tc>
          <w:tcPr>
            <w:tcW w:w="1723" w:type="dxa"/>
            <w:shd w:val="clear" w:color="auto" w:fill="517CA6"/>
            <w:vAlign w:val="center"/>
          </w:tcPr>
          <w:p w14:paraId="0379E2AE" w14:textId="3AAA5C45" w:rsidR="001961CB" w:rsidRPr="00F76E79" w:rsidRDefault="001961CB" w:rsidP="00A92FCA">
            <w:pPr>
              <w:spacing w:before="0" w:after="0"/>
              <w:jc w:val="center"/>
              <w:rPr>
                <w:b/>
                <w:color w:val="FFFFFF" w:themeColor="background1"/>
                <w:szCs w:val="24"/>
              </w:rPr>
            </w:pPr>
            <w:r w:rsidRPr="00F76E79">
              <w:rPr>
                <w:b/>
                <w:color w:val="FFFFFF" w:themeColor="background1"/>
                <w:szCs w:val="24"/>
              </w:rPr>
              <w:t>Administrators</w:t>
            </w:r>
          </w:p>
        </w:tc>
        <w:tc>
          <w:tcPr>
            <w:tcW w:w="1637" w:type="dxa"/>
            <w:shd w:val="clear" w:color="auto" w:fill="517CA6"/>
            <w:vAlign w:val="center"/>
          </w:tcPr>
          <w:p w14:paraId="75F9EC5F" w14:textId="34A28395" w:rsidR="001961CB" w:rsidRPr="00F76E79" w:rsidRDefault="001961CB" w:rsidP="00A92FCA">
            <w:pPr>
              <w:spacing w:before="0" w:after="0" w:line="240" w:lineRule="auto"/>
              <w:jc w:val="center"/>
              <w:rPr>
                <w:b/>
                <w:color w:val="FFFFFF" w:themeColor="background1"/>
                <w:szCs w:val="24"/>
              </w:rPr>
            </w:pPr>
            <w:r w:rsidRPr="00F76E79">
              <w:rPr>
                <w:b/>
                <w:color w:val="FFFFFF" w:themeColor="background1"/>
                <w:szCs w:val="24"/>
              </w:rPr>
              <w:t>Support Professionals</w:t>
            </w:r>
          </w:p>
        </w:tc>
      </w:tr>
      <w:tr w:rsidR="001961CB" w:rsidRPr="00F76E79" w14:paraId="31BB1BE2" w14:textId="77777777" w:rsidTr="001961CB">
        <w:trPr>
          <w:jc w:val="center"/>
        </w:trPr>
        <w:tc>
          <w:tcPr>
            <w:tcW w:w="2725" w:type="dxa"/>
          </w:tcPr>
          <w:p w14:paraId="4F2EBE69" w14:textId="10572F1D" w:rsidR="001961CB" w:rsidRPr="00F76E79" w:rsidRDefault="001961CB" w:rsidP="00A92FCA">
            <w:pPr>
              <w:spacing w:before="0" w:after="0" w:line="240" w:lineRule="auto"/>
              <w:rPr>
                <w:color w:val="4F81BD" w:themeColor="accent1"/>
                <w:szCs w:val="24"/>
              </w:rPr>
            </w:pPr>
            <w:r w:rsidRPr="00F76E79">
              <w:rPr>
                <w:szCs w:val="24"/>
              </w:rPr>
              <w:t>Student data</w:t>
            </w:r>
          </w:p>
        </w:tc>
        <w:tc>
          <w:tcPr>
            <w:tcW w:w="1632" w:type="dxa"/>
          </w:tcPr>
          <w:p w14:paraId="77B4EEFD" w14:textId="7BB72959"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723" w:type="dxa"/>
          </w:tcPr>
          <w:p w14:paraId="233B9DC1" w14:textId="4EB33224"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637" w:type="dxa"/>
          </w:tcPr>
          <w:p w14:paraId="7A1FD1A8" w14:textId="4B976AA4"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r>
      <w:tr w:rsidR="001961CB" w:rsidRPr="00F76E79" w14:paraId="0D9D4DEF" w14:textId="77777777" w:rsidTr="001961CB">
        <w:trPr>
          <w:jc w:val="center"/>
        </w:trPr>
        <w:tc>
          <w:tcPr>
            <w:tcW w:w="2725" w:type="dxa"/>
          </w:tcPr>
          <w:p w14:paraId="61234039" w14:textId="0AE2EE12" w:rsidR="001961CB" w:rsidRPr="00F76E79" w:rsidRDefault="001961CB" w:rsidP="00A92FCA">
            <w:pPr>
              <w:spacing w:before="0" w:after="0" w:line="240" w:lineRule="auto"/>
              <w:rPr>
                <w:color w:val="4F81BD" w:themeColor="accent1"/>
                <w:szCs w:val="24"/>
              </w:rPr>
            </w:pPr>
            <w:r w:rsidRPr="00F76E79">
              <w:rPr>
                <w:szCs w:val="24"/>
              </w:rPr>
              <w:t>Educator evaluation</w:t>
            </w:r>
          </w:p>
        </w:tc>
        <w:tc>
          <w:tcPr>
            <w:tcW w:w="1632" w:type="dxa"/>
          </w:tcPr>
          <w:p w14:paraId="2BA1466C" w14:textId="3ED3EFDF"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723" w:type="dxa"/>
          </w:tcPr>
          <w:p w14:paraId="2063B854" w14:textId="757ADD0A"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637" w:type="dxa"/>
          </w:tcPr>
          <w:p w14:paraId="2CA33E64" w14:textId="057EAD6A"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r>
      <w:tr w:rsidR="001961CB" w:rsidRPr="00F76E79" w14:paraId="0105BFD6" w14:textId="77777777" w:rsidTr="001961CB">
        <w:trPr>
          <w:jc w:val="center"/>
        </w:trPr>
        <w:tc>
          <w:tcPr>
            <w:tcW w:w="2725" w:type="dxa"/>
          </w:tcPr>
          <w:p w14:paraId="0BF6D559" w14:textId="67CF7AD2" w:rsidR="001961CB" w:rsidRPr="00F76E79" w:rsidRDefault="001961CB" w:rsidP="00A92FCA">
            <w:pPr>
              <w:spacing w:before="0" w:after="0" w:line="240" w:lineRule="auto"/>
              <w:rPr>
                <w:color w:val="4F81BD" w:themeColor="accent1"/>
                <w:szCs w:val="24"/>
              </w:rPr>
            </w:pPr>
            <w:r w:rsidRPr="00F76E79">
              <w:rPr>
                <w:szCs w:val="24"/>
              </w:rPr>
              <w:t>Surveys</w:t>
            </w:r>
          </w:p>
        </w:tc>
        <w:tc>
          <w:tcPr>
            <w:tcW w:w="1632" w:type="dxa"/>
          </w:tcPr>
          <w:p w14:paraId="4E517BD1" w14:textId="1DA7B6CA"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723" w:type="dxa"/>
          </w:tcPr>
          <w:p w14:paraId="17637D05" w14:textId="3EBCC68F"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637" w:type="dxa"/>
          </w:tcPr>
          <w:p w14:paraId="5EBFD971" w14:textId="6B1A3ABB"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r>
      <w:tr w:rsidR="001961CB" w:rsidRPr="00F76E79" w14:paraId="62D512D5" w14:textId="77777777" w:rsidTr="001961CB">
        <w:trPr>
          <w:jc w:val="center"/>
        </w:trPr>
        <w:tc>
          <w:tcPr>
            <w:tcW w:w="2725" w:type="dxa"/>
          </w:tcPr>
          <w:p w14:paraId="5D910947" w14:textId="684C0F84" w:rsidR="001961CB" w:rsidRPr="00F76E79" w:rsidRDefault="001961CB" w:rsidP="00A92FCA">
            <w:pPr>
              <w:spacing w:before="0" w:after="0" w:line="240" w:lineRule="auto"/>
              <w:rPr>
                <w:color w:val="4F81BD" w:themeColor="accent1"/>
                <w:szCs w:val="24"/>
              </w:rPr>
            </w:pPr>
            <w:r w:rsidRPr="00F76E79">
              <w:rPr>
                <w:szCs w:val="24"/>
              </w:rPr>
              <w:t>Needs assessment</w:t>
            </w:r>
          </w:p>
        </w:tc>
        <w:tc>
          <w:tcPr>
            <w:tcW w:w="1632" w:type="dxa"/>
          </w:tcPr>
          <w:p w14:paraId="760C8418" w14:textId="48FC3742"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723" w:type="dxa"/>
          </w:tcPr>
          <w:p w14:paraId="201DC21C" w14:textId="601604F7"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c>
          <w:tcPr>
            <w:tcW w:w="1637" w:type="dxa"/>
          </w:tcPr>
          <w:p w14:paraId="30AC736E" w14:textId="5979F51D" w:rsidR="001961CB" w:rsidRPr="00F76E79" w:rsidRDefault="001961CB" w:rsidP="00A92FCA">
            <w:pPr>
              <w:spacing w:before="0" w:after="0" w:line="240" w:lineRule="auto"/>
              <w:jc w:val="center"/>
              <w:rPr>
                <w:color w:val="4F81BD" w:themeColor="accent1"/>
                <w:szCs w:val="24"/>
              </w:rPr>
            </w:pPr>
            <w:r w:rsidRPr="00F76E79">
              <w:rPr>
                <w:color w:val="00558B"/>
                <w:szCs w:val="24"/>
              </w:rPr>
              <w:sym w:font="Wingdings" w:char="F0FC"/>
            </w:r>
          </w:p>
        </w:tc>
      </w:tr>
      <w:tr w:rsidR="001961CB" w:rsidRPr="00F76E79" w14:paraId="46FA342E" w14:textId="77777777" w:rsidTr="001961CB">
        <w:trPr>
          <w:jc w:val="center"/>
        </w:trPr>
        <w:tc>
          <w:tcPr>
            <w:tcW w:w="2725" w:type="dxa"/>
          </w:tcPr>
          <w:p w14:paraId="28C4DD4F" w14:textId="374870F4" w:rsidR="001961CB" w:rsidRPr="00F76E79" w:rsidRDefault="001961CB" w:rsidP="001961CB">
            <w:pPr>
              <w:spacing w:before="0" w:after="0" w:line="240" w:lineRule="auto"/>
              <w:rPr>
                <w:szCs w:val="24"/>
              </w:rPr>
            </w:pPr>
            <w:r>
              <w:rPr>
                <w:szCs w:val="24"/>
              </w:rPr>
              <w:t xml:space="preserve">Other: </w:t>
            </w:r>
            <w:r w:rsidRPr="001961CB">
              <w:rPr>
                <w:szCs w:val="24"/>
                <w:u w:val="single"/>
              </w:rPr>
              <w:t>Walkthroughs</w:t>
            </w:r>
          </w:p>
        </w:tc>
        <w:tc>
          <w:tcPr>
            <w:tcW w:w="1632" w:type="dxa"/>
          </w:tcPr>
          <w:p w14:paraId="236AF100" w14:textId="11477F3A" w:rsidR="001961CB" w:rsidRPr="00F76E79" w:rsidRDefault="001961CB" w:rsidP="001961CB">
            <w:pPr>
              <w:spacing w:before="0" w:after="0" w:line="240" w:lineRule="auto"/>
              <w:jc w:val="center"/>
              <w:rPr>
                <w:color w:val="00558B"/>
                <w:szCs w:val="24"/>
              </w:rPr>
            </w:pPr>
            <w:r w:rsidRPr="00F76E79">
              <w:rPr>
                <w:color w:val="00558B"/>
                <w:szCs w:val="24"/>
              </w:rPr>
              <w:sym w:font="Wingdings" w:char="F0FC"/>
            </w:r>
          </w:p>
        </w:tc>
        <w:tc>
          <w:tcPr>
            <w:tcW w:w="1723" w:type="dxa"/>
          </w:tcPr>
          <w:p w14:paraId="58AC438C" w14:textId="7EE89029" w:rsidR="001961CB" w:rsidRPr="00F76E79" w:rsidRDefault="001961CB" w:rsidP="001961CB">
            <w:pPr>
              <w:spacing w:before="0" w:after="0" w:line="240" w:lineRule="auto"/>
              <w:jc w:val="center"/>
              <w:rPr>
                <w:color w:val="00558B"/>
                <w:szCs w:val="24"/>
              </w:rPr>
            </w:pPr>
            <w:r w:rsidRPr="00F76E79">
              <w:rPr>
                <w:color w:val="00558B"/>
                <w:szCs w:val="24"/>
              </w:rPr>
              <w:sym w:font="Wingdings" w:char="F0FC"/>
            </w:r>
          </w:p>
        </w:tc>
        <w:tc>
          <w:tcPr>
            <w:tcW w:w="1637" w:type="dxa"/>
          </w:tcPr>
          <w:p w14:paraId="63A834B0" w14:textId="4B592E0C" w:rsidR="001961CB" w:rsidRPr="00F76E79" w:rsidRDefault="001961CB" w:rsidP="001961CB">
            <w:pPr>
              <w:spacing w:before="0" w:after="0" w:line="240" w:lineRule="auto"/>
              <w:jc w:val="center"/>
              <w:rPr>
                <w:color w:val="00558B"/>
                <w:szCs w:val="24"/>
              </w:rPr>
            </w:pPr>
            <w:r w:rsidRPr="00F76E79">
              <w:rPr>
                <w:color w:val="00558B"/>
                <w:szCs w:val="24"/>
              </w:rPr>
              <w:sym w:font="Wingdings" w:char="F0FC"/>
            </w:r>
          </w:p>
        </w:tc>
      </w:tr>
    </w:tbl>
    <w:p w14:paraId="65115C43" w14:textId="77777777" w:rsidR="00BE0F98" w:rsidRPr="00BE0F98" w:rsidRDefault="00BE0F98" w:rsidP="00BE0F98">
      <w:pPr>
        <w:spacing w:before="0" w:after="0" w:line="240" w:lineRule="auto"/>
        <w:rPr>
          <w:sz w:val="10"/>
          <w:szCs w:val="10"/>
        </w:rPr>
      </w:pPr>
    </w:p>
    <w:p w14:paraId="7FFF6A2D" w14:textId="28C15843" w:rsidR="00917F4D" w:rsidRPr="0058243A" w:rsidRDefault="005A33C4" w:rsidP="00F76E79">
      <w:r w:rsidRPr="0058243A">
        <w:t xml:space="preserve">What were the biggest takeaways from the data analysis? </w:t>
      </w:r>
      <w:r w:rsidR="00917F4D" w:rsidRPr="0058243A">
        <w:t>If you collected data using different category labels, please append alternate table.</w:t>
      </w:r>
    </w:p>
    <w:p w14:paraId="6808B856" w14:textId="77777777" w:rsidR="00FE42BC" w:rsidRPr="00FE42BC" w:rsidRDefault="00FE42BC" w:rsidP="0058243A">
      <w:pPr>
        <w:pStyle w:val="Response"/>
        <w:jc w:val="both"/>
      </w:pPr>
      <w:r w:rsidRPr="00FE42BC">
        <w:t xml:space="preserve">Five data points led us to examine our existing math curriculum: </w:t>
      </w:r>
    </w:p>
    <w:p w14:paraId="3194B7B3" w14:textId="156CC023" w:rsidR="00FE42BC" w:rsidRPr="00FE42BC" w:rsidRDefault="00FE42BC" w:rsidP="0058243A">
      <w:pPr>
        <w:pStyle w:val="Response"/>
        <w:numPr>
          <w:ilvl w:val="0"/>
          <w:numId w:val="3"/>
        </w:numPr>
        <w:spacing w:before="60" w:after="0"/>
        <w:jc w:val="both"/>
      </w:pPr>
      <w:r w:rsidRPr="00FE42BC">
        <w:t>RICAS math scores are lower than those in comparable schools in the state</w:t>
      </w:r>
      <w:r w:rsidR="003730C8">
        <w:t>.</w:t>
      </w:r>
    </w:p>
    <w:p w14:paraId="31581C8E" w14:textId="117DDECF" w:rsidR="00FE42BC" w:rsidRPr="00FE42BC" w:rsidRDefault="00FE42BC" w:rsidP="0058243A">
      <w:pPr>
        <w:pStyle w:val="Response"/>
        <w:numPr>
          <w:ilvl w:val="0"/>
          <w:numId w:val="3"/>
        </w:numPr>
        <w:spacing w:before="60" w:after="0"/>
        <w:jc w:val="both"/>
      </w:pPr>
      <w:r w:rsidRPr="00FE42BC">
        <w:t>82% of teachers state that they mostly or always created curriculum materials apart from what is provided</w:t>
      </w:r>
      <w:r w:rsidR="003730C8">
        <w:t>.</w:t>
      </w:r>
    </w:p>
    <w:p w14:paraId="1C4C34DA" w14:textId="412A6FA4" w:rsidR="00FE42BC" w:rsidRPr="00FE42BC" w:rsidRDefault="00FE42BC" w:rsidP="0058243A">
      <w:pPr>
        <w:pStyle w:val="Response"/>
        <w:numPr>
          <w:ilvl w:val="0"/>
          <w:numId w:val="3"/>
        </w:numPr>
        <w:spacing w:before="60" w:after="0"/>
        <w:jc w:val="both"/>
      </w:pPr>
      <w:r w:rsidRPr="00FE42BC">
        <w:t>Learning walk results show that nearly half of students were engaged in math tasks below grade-level standards across 30 classrooms at the time of the walk</w:t>
      </w:r>
      <w:r w:rsidR="003730C8">
        <w:t>.</w:t>
      </w:r>
    </w:p>
    <w:p w14:paraId="7ABB324E" w14:textId="6A3F2653" w:rsidR="00FE42BC" w:rsidRDefault="00FE42BC" w:rsidP="0058243A">
      <w:pPr>
        <w:pStyle w:val="Response"/>
        <w:numPr>
          <w:ilvl w:val="0"/>
          <w:numId w:val="3"/>
        </w:numPr>
        <w:spacing w:before="60" w:after="0"/>
        <w:jc w:val="both"/>
      </w:pPr>
      <w:r w:rsidRPr="00FE42BC">
        <w:lastRenderedPageBreak/>
        <w:t>55% of students disagreed that “teachers provided math instruction based on my needs or interests”</w:t>
      </w:r>
      <w:r w:rsidR="003730C8">
        <w:t>.</w:t>
      </w:r>
    </w:p>
    <w:p w14:paraId="65C3FF59" w14:textId="5CD41883" w:rsidR="00FE42BC" w:rsidRDefault="00FE42BC" w:rsidP="0058243A">
      <w:pPr>
        <w:pStyle w:val="Response"/>
        <w:numPr>
          <w:ilvl w:val="0"/>
          <w:numId w:val="3"/>
        </w:numPr>
        <w:spacing w:before="60" w:after="0"/>
        <w:jc w:val="both"/>
      </w:pPr>
      <w:r w:rsidRPr="00FE42BC">
        <w:t>A needs assessment revealed the math curriculum to be the least well understood of our adopted curricula</w:t>
      </w:r>
      <w:r w:rsidR="003730C8">
        <w:t>.</w:t>
      </w:r>
    </w:p>
    <w:p w14:paraId="6CF0D73E" w14:textId="7156CD7C" w:rsidR="00FE42BC" w:rsidRPr="00FE42BC" w:rsidRDefault="00FE42BC" w:rsidP="0058243A">
      <w:pPr>
        <w:pStyle w:val="Response"/>
        <w:jc w:val="both"/>
      </w:pPr>
      <w:r w:rsidRPr="00FE42BC">
        <w:t>As a result, a team of stakeholders assembled to select a new curriculum and create a plan to support teachers in its adoption.</w:t>
      </w:r>
    </w:p>
    <w:p w14:paraId="28607615" w14:textId="10D44869" w:rsidR="00FE42BC" w:rsidRDefault="00FE42BC" w:rsidP="0058243A">
      <w:pPr>
        <w:pStyle w:val="Response"/>
        <w:jc w:val="both"/>
      </w:pPr>
      <w:r w:rsidRPr="00FE42BC">
        <w:t>An implementation team is currently leading the work around creating and sustaining professional support around the adoption of Fantastic Math.</w:t>
      </w:r>
    </w:p>
    <w:p w14:paraId="17532917" w14:textId="77777777" w:rsidR="00FE42BC" w:rsidRPr="00FE42BC" w:rsidRDefault="00FE42BC" w:rsidP="0058243A">
      <w:pPr>
        <w:pStyle w:val="Response"/>
        <w:jc w:val="both"/>
      </w:pPr>
      <w:r w:rsidRPr="00FE42BC">
        <w:t xml:space="preserve">Three data points led us to prioritize the Moshassuck induction coaching program for new teachers: </w:t>
      </w:r>
    </w:p>
    <w:p w14:paraId="6C5C26DA" w14:textId="76A2D508" w:rsidR="00FE42BC" w:rsidRPr="00FE42BC" w:rsidRDefault="00FE42BC" w:rsidP="0058243A">
      <w:pPr>
        <w:pStyle w:val="Response"/>
        <w:numPr>
          <w:ilvl w:val="0"/>
          <w:numId w:val="4"/>
        </w:numPr>
        <w:spacing w:before="60" w:after="0"/>
        <w:jc w:val="both"/>
      </w:pPr>
      <w:r w:rsidRPr="00FE42BC">
        <w:t>Students assigned to long-term substitutes were less likely to pass RICAS assessments</w:t>
      </w:r>
      <w:r w:rsidR="003730C8">
        <w:t>.</w:t>
      </w:r>
    </w:p>
    <w:p w14:paraId="264B6EAF" w14:textId="3BA00480" w:rsidR="00FE42BC" w:rsidRPr="00FE42BC" w:rsidRDefault="00FE42BC" w:rsidP="0058243A">
      <w:pPr>
        <w:pStyle w:val="Response"/>
        <w:numPr>
          <w:ilvl w:val="0"/>
          <w:numId w:val="4"/>
        </w:numPr>
        <w:spacing w:before="60" w:after="0"/>
        <w:jc w:val="both"/>
      </w:pPr>
      <w:r w:rsidRPr="00FE42BC">
        <w:t>Moshassuck has averaged 28 new teachers over the last three years, a critical cohort for short- and long-term student success</w:t>
      </w:r>
      <w:r w:rsidR="003730C8">
        <w:t>.</w:t>
      </w:r>
    </w:p>
    <w:p w14:paraId="46E2DB88" w14:textId="64C20482" w:rsidR="006C2DF3" w:rsidRPr="0058243A" w:rsidRDefault="00FE42BC" w:rsidP="0058243A">
      <w:pPr>
        <w:pStyle w:val="Response"/>
        <w:numPr>
          <w:ilvl w:val="0"/>
          <w:numId w:val="4"/>
        </w:numPr>
        <w:spacing w:before="60" w:after="0"/>
        <w:jc w:val="both"/>
      </w:pPr>
      <w:r w:rsidRPr="00FE42BC">
        <w:t>90% of new teachers who return for a second year say the relationship with a mentor is “important” or “very important” to their success</w:t>
      </w:r>
      <w:r w:rsidR="003730C8">
        <w:t>.</w:t>
      </w:r>
    </w:p>
    <w:p w14:paraId="27CA199C" w14:textId="323E15FD" w:rsidR="00FE42BC" w:rsidRPr="00FE42BC" w:rsidRDefault="00FE42BC" w:rsidP="0058243A">
      <w:pPr>
        <w:pStyle w:val="Response"/>
        <w:jc w:val="both"/>
      </w:pPr>
      <w:r w:rsidRPr="00FE42BC">
        <w:t xml:space="preserve">Each of this year’s 33 new teachers is assigned an induction coach. Each coach and new teacher pairing will participate in joint training, collaboratively identify goals and objectives, </w:t>
      </w:r>
      <w:proofErr w:type="gramStart"/>
      <w:r w:rsidRPr="00FE42BC">
        <w:t>select</w:t>
      </w:r>
      <w:proofErr w:type="gramEnd"/>
      <w:r w:rsidRPr="00FE42BC">
        <w:t xml:space="preserve"> measures to monitor progress, and structure observations and reflection time. Coaches also model skills through co-teaching.</w:t>
      </w:r>
    </w:p>
    <w:p w14:paraId="528B5241" w14:textId="107164F4" w:rsidR="00917F4D" w:rsidRPr="0058243A" w:rsidRDefault="00917F4D" w:rsidP="005E7883">
      <w:pPr>
        <w:pStyle w:val="RIDEH2"/>
        <w:rPr>
          <w:color w:val="1F497D" w:themeColor="text2"/>
        </w:rPr>
      </w:pPr>
      <w:bookmarkStart w:id="21" w:name="_Toc7783256"/>
      <w:bookmarkStart w:id="22" w:name="_Toc11135863"/>
      <w:r w:rsidRPr="0058243A">
        <w:rPr>
          <w:color w:val="1F497D" w:themeColor="text2"/>
        </w:rPr>
        <w:t>Section C</w:t>
      </w:r>
      <w:r w:rsidR="00FE42BC" w:rsidRPr="0058243A">
        <w:rPr>
          <w:color w:val="1F497D" w:themeColor="text2"/>
        </w:rPr>
        <w:t>: Alignment and Measures of Success</w:t>
      </w:r>
      <w:bookmarkEnd w:id="21"/>
      <w:bookmarkEnd w:id="22"/>
    </w:p>
    <w:p w14:paraId="12FFB3BB" w14:textId="11863E49" w:rsidR="00A95AD4" w:rsidRPr="0058243A" w:rsidRDefault="00A95AD4" w:rsidP="0058243A">
      <w:pPr>
        <w:pStyle w:val="RIDEH3"/>
      </w:pPr>
      <w:bookmarkStart w:id="23" w:name="EditableTemplates"/>
      <w:bookmarkStart w:id="24" w:name="_Toc7783257"/>
      <w:bookmarkStart w:id="25" w:name="_Toc11135864"/>
      <w:bookmarkEnd w:id="23"/>
      <w:r w:rsidRPr="0058243A">
        <w:t>Alignment</w:t>
      </w:r>
      <w:bookmarkEnd w:id="24"/>
      <w:bookmarkEnd w:id="25"/>
    </w:p>
    <w:p w14:paraId="7FA3EB84" w14:textId="6E005C8A" w:rsidR="00917F4D" w:rsidRDefault="00917F4D" w:rsidP="005E7883">
      <w:r>
        <w:t xml:space="preserve">How is your professional learning plan supporting and moving towards your district’s vision? </w:t>
      </w:r>
    </w:p>
    <w:p w14:paraId="635C7F17" w14:textId="77777777" w:rsidR="00917F4D" w:rsidRPr="00917F4D" w:rsidRDefault="00917F4D" w:rsidP="00460F20">
      <w:pPr>
        <w:pStyle w:val="Response"/>
        <w:jc w:val="both"/>
      </w:pPr>
      <w:r w:rsidRPr="00917F4D">
        <w:t xml:space="preserve">Moshassuck Public Schools is a fictional public school district in central Rhode Island. It serves approximately 7,500 students in 12 schools. Half of its students qualify for a free or reduced lunch, and just over a third are learning English as an additional language. </w:t>
      </w:r>
    </w:p>
    <w:p w14:paraId="6E8470B1" w14:textId="77777777" w:rsidR="00917F4D" w:rsidRPr="00917F4D" w:rsidRDefault="00917F4D" w:rsidP="00460F20">
      <w:pPr>
        <w:pStyle w:val="Response"/>
        <w:jc w:val="both"/>
      </w:pPr>
      <w:r w:rsidRPr="00917F4D">
        <w:t>The district consists of six PK-8 schools, two K-5 schools, one 6-8 middle school, and three high schools. We have an Office of Professional Learning with three employees, who oversee eight full time coaches throughout the district, each based in a school serving elementary grades. We have content specialists who also serve as teachers in middle and high schools.</w:t>
      </w:r>
    </w:p>
    <w:p w14:paraId="69E4203F" w14:textId="77777777" w:rsidR="00917F4D" w:rsidRPr="00917F4D" w:rsidRDefault="00917F4D" w:rsidP="00460F20">
      <w:pPr>
        <w:pStyle w:val="Response"/>
        <w:jc w:val="both"/>
      </w:pPr>
      <w:r w:rsidRPr="00917F4D">
        <w:lastRenderedPageBreak/>
        <w:t>We engaged leaders from the union, school sites, and the district in a year-long strategic planning process, a portion of which was to identify objectives for professional learning in the coming year. Our primary objectives are to:</w:t>
      </w:r>
    </w:p>
    <w:p w14:paraId="6FB60B18" w14:textId="77777777" w:rsidR="00917F4D" w:rsidRPr="00832851" w:rsidRDefault="00917F4D" w:rsidP="00460F20">
      <w:pPr>
        <w:pStyle w:val="Response"/>
        <w:numPr>
          <w:ilvl w:val="0"/>
          <w:numId w:val="6"/>
        </w:numPr>
        <w:spacing w:before="120"/>
        <w:jc w:val="both"/>
      </w:pPr>
      <w:r w:rsidRPr="00832851">
        <w:t>Adopt a high quality math curriculum and support every teacher to use the curriculum as a tool to provide effective instruction.</w:t>
      </w:r>
    </w:p>
    <w:p w14:paraId="35D47B60" w14:textId="77777777" w:rsidR="00917F4D" w:rsidRPr="00832851" w:rsidRDefault="00917F4D" w:rsidP="00460F20">
      <w:pPr>
        <w:pStyle w:val="Response"/>
        <w:numPr>
          <w:ilvl w:val="0"/>
          <w:numId w:val="6"/>
        </w:numPr>
        <w:spacing w:before="120"/>
        <w:jc w:val="both"/>
      </w:pPr>
      <w:r w:rsidRPr="00832851">
        <w:t xml:space="preserve">Support and retain effective new teachers. </w:t>
      </w:r>
    </w:p>
    <w:p w14:paraId="7638B11D" w14:textId="66EA98E7" w:rsidR="009B6FB9" w:rsidRPr="009B6FB9" w:rsidRDefault="00917F4D" w:rsidP="00460F20">
      <w:pPr>
        <w:pStyle w:val="Response"/>
        <w:jc w:val="both"/>
      </w:pPr>
      <w:r w:rsidRPr="00832851">
        <w:t>Professional learning activities in Moshassuck district are consistent and aligned with a given professional’s role in supporting students. Each school further identifies complementary professional learning opportunities and overall objectives in their school improvement plans. Teachers also have the ability to apply for grant opportunities to participate in individual professional learning.</w:t>
      </w:r>
    </w:p>
    <w:p w14:paraId="587549C9" w14:textId="1B1D4F38" w:rsidR="00A95AD4" w:rsidRPr="009D2714" w:rsidRDefault="00A95AD4" w:rsidP="0058243A">
      <w:pPr>
        <w:pStyle w:val="RIDEH3"/>
      </w:pPr>
      <w:bookmarkStart w:id="26" w:name="_Toc7783258"/>
      <w:bookmarkStart w:id="27" w:name="_Toc11135865"/>
      <w:r w:rsidRPr="009D2714">
        <w:t>Measures of Success</w:t>
      </w:r>
      <w:bookmarkEnd w:id="26"/>
      <w:bookmarkEnd w:id="27"/>
    </w:p>
    <w:p w14:paraId="280E5913" w14:textId="3484A903" w:rsidR="00A95AD4" w:rsidRPr="00015BC0" w:rsidRDefault="00015BC0" w:rsidP="00015BC0">
      <w:pPr>
        <w:spacing w:before="0" w:after="0" w:line="276" w:lineRule="auto"/>
        <w:rPr>
          <w:rFonts w:ascii="Calibri Light" w:hAnsi="Calibri Light"/>
          <w:b/>
          <w:color w:val="1F497D" w:themeColor="text2"/>
          <w:sz w:val="40"/>
        </w:rPr>
      </w:pPr>
      <w:r>
        <w:t>What measures have you developed and/or selected, and what benchmark/goal setting have you conducted with regard to the success of professional development activities? In addition to educator satisfaction, include measures of both educator and student outcomes that expect to achieve as a result of your professional learning.</w:t>
      </w:r>
    </w:p>
    <w:p w14:paraId="28A14BC9" w14:textId="77777777" w:rsidR="0058243A" w:rsidRDefault="0058243A" w:rsidP="00460F20">
      <w:pPr>
        <w:pStyle w:val="ListParagraph"/>
        <w:numPr>
          <w:ilvl w:val="0"/>
          <w:numId w:val="11"/>
        </w:numPr>
        <w:jc w:val="both"/>
        <w:rPr>
          <w:color w:val="4F81BD" w:themeColor="accent1"/>
        </w:rPr>
      </w:pPr>
      <w:r>
        <w:rPr>
          <w:color w:val="4F81BD" w:themeColor="accent1"/>
        </w:rPr>
        <w:t>Measures for Goal 1</w:t>
      </w:r>
    </w:p>
    <w:p w14:paraId="4EE5237A" w14:textId="77777777" w:rsidR="0058243A" w:rsidRDefault="0058243A" w:rsidP="00460F20">
      <w:pPr>
        <w:pStyle w:val="ListParagraph"/>
        <w:numPr>
          <w:ilvl w:val="1"/>
          <w:numId w:val="11"/>
        </w:numPr>
        <w:jc w:val="both"/>
        <w:rPr>
          <w:color w:val="4F81BD" w:themeColor="accent1"/>
        </w:rPr>
      </w:pPr>
      <w:r>
        <w:rPr>
          <w:color w:val="4F81BD" w:themeColor="accent1"/>
        </w:rPr>
        <w:t>% of teachers effectively utilizing core elements of new curriculum (instructional routines, content-specific pedagogy, assessment) as measured by curriculum aligned walkthrough tool</w:t>
      </w:r>
    </w:p>
    <w:p w14:paraId="478EE7C5" w14:textId="77777777" w:rsidR="0058243A" w:rsidRDefault="0058243A" w:rsidP="00460F20">
      <w:pPr>
        <w:pStyle w:val="ListParagraph"/>
        <w:numPr>
          <w:ilvl w:val="1"/>
          <w:numId w:val="11"/>
        </w:numPr>
        <w:jc w:val="both"/>
        <w:rPr>
          <w:color w:val="4F81BD" w:themeColor="accent1"/>
        </w:rPr>
      </w:pPr>
      <w:r>
        <w:rPr>
          <w:color w:val="4F81BD" w:themeColor="accent1"/>
        </w:rPr>
        <w:t>% of teachers reporting level high level of satisfaction with PL to support curriculum implementation, as measured by teacher survey</w:t>
      </w:r>
    </w:p>
    <w:p w14:paraId="505E5259" w14:textId="77777777" w:rsidR="0058243A" w:rsidRDefault="0058243A" w:rsidP="00460F20">
      <w:pPr>
        <w:pStyle w:val="ListParagraph"/>
        <w:numPr>
          <w:ilvl w:val="1"/>
          <w:numId w:val="11"/>
        </w:numPr>
        <w:jc w:val="both"/>
        <w:rPr>
          <w:color w:val="4F81BD" w:themeColor="accent1"/>
        </w:rPr>
      </w:pPr>
      <w:r>
        <w:rPr>
          <w:color w:val="4F81BD" w:themeColor="accent1"/>
        </w:rPr>
        <w:t>Increase in % of students meeting or exceeding proficiency on curriculum aligned interim assessments</w:t>
      </w:r>
    </w:p>
    <w:p w14:paraId="4D89FBBE" w14:textId="77777777" w:rsidR="0058243A" w:rsidRDefault="0058243A" w:rsidP="00460F20">
      <w:pPr>
        <w:pStyle w:val="ListParagraph"/>
        <w:numPr>
          <w:ilvl w:val="1"/>
          <w:numId w:val="11"/>
        </w:numPr>
        <w:jc w:val="both"/>
        <w:rPr>
          <w:color w:val="4F81BD" w:themeColor="accent1"/>
        </w:rPr>
      </w:pPr>
      <w:r>
        <w:rPr>
          <w:color w:val="4F81BD" w:themeColor="accent1"/>
        </w:rPr>
        <w:t>Year over year increase in % of students meeting or exceeding proficiency on summative assessments</w:t>
      </w:r>
    </w:p>
    <w:p w14:paraId="418B98F1" w14:textId="77777777" w:rsidR="0058243A" w:rsidRDefault="0058243A" w:rsidP="00460F20">
      <w:pPr>
        <w:pStyle w:val="ListParagraph"/>
        <w:ind w:left="1440"/>
        <w:jc w:val="both"/>
        <w:rPr>
          <w:color w:val="4F81BD" w:themeColor="accent1"/>
        </w:rPr>
      </w:pPr>
    </w:p>
    <w:p w14:paraId="23772520" w14:textId="77777777" w:rsidR="0058243A" w:rsidRDefault="0058243A" w:rsidP="00460F20">
      <w:pPr>
        <w:pStyle w:val="ListParagraph"/>
        <w:numPr>
          <w:ilvl w:val="0"/>
          <w:numId w:val="11"/>
        </w:numPr>
        <w:jc w:val="both"/>
        <w:rPr>
          <w:color w:val="4F81BD" w:themeColor="accent1"/>
        </w:rPr>
      </w:pPr>
      <w:r>
        <w:rPr>
          <w:color w:val="4F81BD" w:themeColor="accent1"/>
        </w:rPr>
        <w:t>Measures for Goal 2</w:t>
      </w:r>
    </w:p>
    <w:p w14:paraId="2CD812B8" w14:textId="77777777" w:rsidR="0058243A" w:rsidRDefault="0058243A" w:rsidP="00460F20">
      <w:pPr>
        <w:pStyle w:val="ListParagraph"/>
        <w:numPr>
          <w:ilvl w:val="1"/>
          <w:numId w:val="11"/>
        </w:numPr>
        <w:jc w:val="both"/>
        <w:rPr>
          <w:color w:val="4F81BD" w:themeColor="accent1"/>
        </w:rPr>
      </w:pPr>
      <w:r>
        <w:rPr>
          <w:color w:val="4F81BD" w:themeColor="accent1"/>
        </w:rPr>
        <w:t>% of new educators achieving proficiency in core areas of district vision for strong instruction as measured by district observation tool</w:t>
      </w:r>
    </w:p>
    <w:p w14:paraId="7852EB5E" w14:textId="77777777" w:rsidR="0058243A" w:rsidRDefault="0058243A" w:rsidP="00460F20">
      <w:pPr>
        <w:pStyle w:val="ListParagraph"/>
        <w:numPr>
          <w:ilvl w:val="1"/>
          <w:numId w:val="11"/>
        </w:numPr>
        <w:jc w:val="both"/>
        <w:rPr>
          <w:color w:val="4F81BD" w:themeColor="accent1"/>
        </w:rPr>
      </w:pPr>
      <w:r>
        <w:rPr>
          <w:color w:val="4F81BD" w:themeColor="accent1"/>
        </w:rPr>
        <w:t>% of teachers reporting high levels of growth and relevance from their time with the induction coach, as measured by teacher survey</w:t>
      </w:r>
    </w:p>
    <w:p w14:paraId="201C5CC7" w14:textId="77777777" w:rsidR="0058243A" w:rsidRDefault="0058243A" w:rsidP="00460F20">
      <w:pPr>
        <w:pStyle w:val="ListParagraph"/>
        <w:numPr>
          <w:ilvl w:val="1"/>
          <w:numId w:val="11"/>
        </w:numPr>
        <w:jc w:val="both"/>
        <w:rPr>
          <w:color w:val="4F81BD" w:themeColor="accent1"/>
        </w:rPr>
      </w:pPr>
      <w:r>
        <w:rPr>
          <w:color w:val="4F81BD" w:themeColor="accent1"/>
        </w:rPr>
        <w:t>Any gap between new and experienced teachers % of students meeting or exceeding proficiency on formative and summative assessments decreases to no more than 10%</w:t>
      </w:r>
    </w:p>
    <w:p w14:paraId="642C8B4C" w14:textId="26F24F65" w:rsidR="0058243A" w:rsidRPr="0058243A" w:rsidRDefault="0058243A" w:rsidP="00460F20">
      <w:pPr>
        <w:pStyle w:val="ListParagraph"/>
        <w:numPr>
          <w:ilvl w:val="1"/>
          <w:numId w:val="11"/>
        </w:numPr>
        <w:jc w:val="both"/>
        <w:rPr>
          <w:color w:val="4F81BD" w:themeColor="accent1"/>
        </w:rPr>
      </w:pPr>
      <w:r>
        <w:rPr>
          <w:color w:val="4F81BD" w:themeColor="accent1"/>
        </w:rPr>
        <w:t>% of teachers who accept offers for employment in next school year</w:t>
      </w:r>
    </w:p>
    <w:p w14:paraId="0111D840" w14:textId="32C900B2" w:rsidR="00917F4D" w:rsidRDefault="00917F4D" w:rsidP="00460F20">
      <w:pPr>
        <w:pStyle w:val="Response"/>
        <w:jc w:val="both"/>
      </w:pPr>
      <w:r w:rsidRPr="00917F4D">
        <w:t>We are measuring the outcomes of our professional learning in four ways:</w:t>
      </w:r>
    </w:p>
    <w:p w14:paraId="24A1CC52" w14:textId="6842BDB6" w:rsidR="00917F4D" w:rsidRPr="00917F4D" w:rsidRDefault="00917F4D" w:rsidP="00460F20">
      <w:pPr>
        <w:pStyle w:val="Response"/>
        <w:numPr>
          <w:ilvl w:val="0"/>
          <w:numId w:val="5"/>
        </w:numPr>
        <w:spacing w:before="120"/>
        <w:jc w:val="both"/>
      </w:pPr>
      <w:r w:rsidRPr="00917F4D">
        <w:lastRenderedPageBreak/>
        <w:t xml:space="preserve">We will collect feedback forms at the end of any session that ask </w:t>
      </w:r>
      <w:r w:rsidR="005A33C4">
        <w:t>Li</w:t>
      </w:r>
      <w:r w:rsidRPr="00917F4D">
        <w:t>kert items as well as open-ended items regarding usefulness.</w:t>
      </w:r>
    </w:p>
    <w:p w14:paraId="6E281AB0" w14:textId="152D17F8" w:rsidR="00917F4D" w:rsidRPr="00917F4D" w:rsidRDefault="00917F4D" w:rsidP="00460F20">
      <w:pPr>
        <w:pStyle w:val="Response"/>
        <w:numPr>
          <w:ilvl w:val="0"/>
          <w:numId w:val="5"/>
        </w:numPr>
        <w:spacing w:before="120"/>
        <w:jc w:val="both"/>
      </w:pPr>
      <w:r w:rsidRPr="00917F4D">
        <w:t xml:space="preserve">We will work with a partner to conduct a </w:t>
      </w:r>
      <w:r w:rsidR="00BE0F98" w:rsidRPr="00C57CD2">
        <w:t>P</w:t>
      </w:r>
      <w:r w:rsidR="00BE0F98">
        <w:t xml:space="preserve">rofessional Learning </w:t>
      </w:r>
      <w:r w:rsidRPr="00917F4D">
        <w:t>Audit, which includes classroom observations from a sample of classrooms before and after a substantial number of sessions to measure changes in practice.</w:t>
      </w:r>
    </w:p>
    <w:p w14:paraId="1394C06C" w14:textId="77777777" w:rsidR="00917F4D" w:rsidRPr="00917F4D" w:rsidRDefault="00917F4D" w:rsidP="00460F20">
      <w:pPr>
        <w:pStyle w:val="Response"/>
        <w:numPr>
          <w:ilvl w:val="0"/>
          <w:numId w:val="5"/>
        </w:numPr>
        <w:spacing w:before="120"/>
        <w:jc w:val="both"/>
      </w:pPr>
      <w:r w:rsidRPr="00917F4D">
        <w:t>We will interview educators about their practice, and include questions intended to see whether professional support explains choices made by educators.</w:t>
      </w:r>
    </w:p>
    <w:p w14:paraId="004F7A10" w14:textId="3569051F" w:rsidR="00A95AD4" w:rsidRDefault="00917F4D" w:rsidP="00460F20">
      <w:pPr>
        <w:pStyle w:val="Response"/>
        <w:numPr>
          <w:ilvl w:val="0"/>
          <w:numId w:val="5"/>
        </w:numPr>
        <w:spacing w:before="120"/>
        <w:jc w:val="both"/>
      </w:pPr>
      <w:r w:rsidRPr="00917F4D">
        <w:t>We will examine student w</w:t>
      </w:r>
      <w:r>
        <w:t>ork</w:t>
      </w:r>
      <w:r w:rsidRPr="00917F4D">
        <w:t xml:space="preserve"> from before and after the professional learning </w:t>
      </w:r>
      <w:r>
        <w:t xml:space="preserve">and curriculum training </w:t>
      </w:r>
      <w:r w:rsidRPr="00917F4D">
        <w:t xml:space="preserve">to identify whether the characteristics </w:t>
      </w:r>
      <w:r>
        <w:t>of the work</w:t>
      </w:r>
      <w:r w:rsidRPr="00917F4D">
        <w:t xml:space="preserve"> have improved.</w:t>
      </w:r>
    </w:p>
    <w:p w14:paraId="52BB7742" w14:textId="2C7F6633" w:rsidR="00917F4D" w:rsidRPr="00AD36FF" w:rsidRDefault="00917F4D" w:rsidP="00AD36FF">
      <w:pPr>
        <w:pStyle w:val="RIDEH2"/>
      </w:pPr>
      <w:bookmarkStart w:id="28" w:name="_Toc7783259"/>
      <w:bookmarkStart w:id="29" w:name="_Toc11135866"/>
      <w:r w:rsidRPr="00832851">
        <w:t>Section D</w:t>
      </w:r>
      <w:r w:rsidR="00FE42BC" w:rsidRPr="00832851">
        <w:t>: Offerings and Process</w:t>
      </w:r>
      <w:bookmarkEnd w:id="28"/>
      <w:bookmarkEnd w:id="29"/>
    </w:p>
    <w:p w14:paraId="59677577" w14:textId="140D07F1" w:rsidR="00A95AD4" w:rsidRDefault="00A95AD4" w:rsidP="0058243A">
      <w:pPr>
        <w:pStyle w:val="RIDEH3"/>
      </w:pPr>
      <w:bookmarkStart w:id="30" w:name="_Toc7783260"/>
      <w:bookmarkStart w:id="31" w:name="_Toc11135867"/>
      <w:r>
        <w:t>Offerings</w:t>
      </w:r>
      <w:bookmarkEnd w:id="30"/>
      <w:bookmarkEnd w:id="31"/>
    </w:p>
    <w:p w14:paraId="27B28148" w14:textId="788675F0" w:rsidR="00917F4D" w:rsidRDefault="00917F4D" w:rsidP="00460F20">
      <w:pPr>
        <w:jc w:val="both"/>
      </w:pPr>
      <w:r w:rsidRPr="00AD36FF">
        <w:t>What types of district-offered activities will you make available for staff? In the list, please</w:t>
      </w:r>
      <w:r>
        <w:t xml:space="preserve"> include the ongoing activities, including some that are school-based for each educator group.</w:t>
      </w:r>
    </w:p>
    <w:tbl>
      <w:tblPr>
        <w:tblStyle w:val="TableGrid"/>
        <w:tblW w:w="9360"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1885"/>
        <w:gridCol w:w="3819"/>
        <w:gridCol w:w="2444"/>
        <w:gridCol w:w="1212"/>
      </w:tblGrid>
      <w:tr w:rsidR="00275B41" w:rsidRPr="006B7490" w14:paraId="5B0F8073" w14:textId="77777777" w:rsidTr="006B7490">
        <w:trPr>
          <w:tblHeader/>
          <w:jc w:val="center"/>
        </w:trPr>
        <w:tc>
          <w:tcPr>
            <w:tcW w:w="1885" w:type="dxa"/>
            <w:shd w:val="clear" w:color="auto" w:fill="517CA6"/>
            <w:vAlign w:val="center"/>
          </w:tcPr>
          <w:p w14:paraId="61D05349" w14:textId="0C20F2F7"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Activity</w:t>
            </w:r>
          </w:p>
        </w:tc>
        <w:tc>
          <w:tcPr>
            <w:tcW w:w="3819" w:type="dxa"/>
            <w:shd w:val="clear" w:color="auto" w:fill="517CA6"/>
            <w:vAlign w:val="center"/>
          </w:tcPr>
          <w:p w14:paraId="10180704" w14:textId="67159AAF"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Specific LEA Offering</w:t>
            </w:r>
          </w:p>
        </w:tc>
        <w:tc>
          <w:tcPr>
            <w:tcW w:w="2444" w:type="dxa"/>
            <w:shd w:val="clear" w:color="auto" w:fill="517CA6"/>
            <w:vAlign w:val="center"/>
          </w:tcPr>
          <w:p w14:paraId="02F38484" w14:textId="42DC2B2D" w:rsidR="00275B41" w:rsidRPr="006B7490" w:rsidRDefault="00275B41" w:rsidP="00AD36FF">
            <w:pPr>
              <w:spacing w:before="0" w:after="0" w:line="240" w:lineRule="auto"/>
              <w:jc w:val="center"/>
              <w:rPr>
                <w:b/>
                <w:color w:val="FFFFFF" w:themeColor="background1"/>
                <w:sz w:val="22"/>
              </w:rPr>
            </w:pPr>
            <w:r w:rsidRPr="006B7490">
              <w:rPr>
                <w:b/>
                <w:color w:val="FFFFFF" w:themeColor="background1"/>
                <w:sz w:val="22"/>
              </w:rPr>
              <w:t>Applicable Group(s)</w:t>
            </w:r>
          </w:p>
        </w:tc>
        <w:tc>
          <w:tcPr>
            <w:tcW w:w="1212" w:type="dxa"/>
            <w:shd w:val="clear" w:color="auto" w:fill="517CA6"/>
            <w:vAlign w:val="center"/>
          </w:tcPr>
          <w:p w14:paraId="532F5CFF" w14:textId="2693921D" w:rsidR="00275B41" w:rsidRPr="006B7490" w:rsidRDefault="00275B41" w:rsidP="0058243A">
            <w:pPr>
              <w:spacing w:before="0" w:after="0" w:line="240" w:lineRule="auto"/>
              <w:jc w:val="center"/>
              <w:rPr>
                <w:b/>
                <w:color w:val="FFFFFF" w:themeColor="background1"/>
                <w:sz w:val="22"/>
              </w:rPr>
            </w:pPr>
            <w:r w:rsidRPr="006B7490">
              <w:rPr>
                <w:b/>
                <w:color w:val="FFFFFF" w:themeColor="background1"/>
                <w:sz w:val="22"/>
              </w:rPr>
              <w:t xml:space="preserve">PLU </w:t>
            </w:r>
            <w:r w:rsidR="0058243A">
              <w:rPr>
                <w:b/>
                <w:color w:val="FFFFFF" w:themeColor="background1"/>
                <w:sz w:val="22"/>
              </w:rPr>
              <w:t>Value per Year</w:t>
            </w:r>
          </w:p>
        </w:tc>
      </w:tr>
      <w:tr w:rsidR="00275B41" w:rsidRPr="006B7490" w14:paraId="5A15A4D3" w14:textId="77777777" w:rsidTr="006B7490">
        <w:trPr>
          <w:jc w:val="center"/>
        </w:trPr>
        <w:tc>
          <w:tcPr>
            <w:tcW w:w="1885" w:type="dxa"/>
            <w:shd w:val="clear" w:color="auto" w:fill="D5E8F7"/>
            <w:vAlign w:val="center"/>
          </w:tcPr>
          <w:p w14:paraId="7CBF9623" w14:textId="67485708" w:rsidR="00275B41" w:rsidRPr="006B7490" w:rsidRDefault="00275B41" w:rsidP="00AD36FF">
            <w:pPr>
              <w:pStyle w:val="Response"/>
              <w:spacing w:before="0" w:after="0" w:line="240" w:lineRule="auto"/>
              <w:rPr>
                <w:sz w:val="22"/>
              </w:rPr>
            </w:pPr>
            <w:r w:rsidRPr="006B7490">
              <w:rPr>
                <w:sz w:val="22"/>
              </w:rPr>
              <w:t>Coaching</w:t>
            </w:r>
          </w:p>
        </w:tc>
        <w:tc>
          <w:tcPr>
            <w:tcW w:w="3819" w:type="dxa"/>
            <w:vAlign w:val="center"/>
          </w:tcPr>
          <w:p w14:paraId="5CEFBF2A" w14:textId="6A667167" w:rsidR="00275B41" w:rsidRPr="006B7490" w:rsidRDefault="00275B41" w:rsidP="00AD36FF">
            <w:pPr>
              <w:pStyle w:val="Response"/>
              <w:spacing w:before="0" w:after="0" w:line="240" w:lineRule="auto"/>
              <w:rPr>
                <w:sz w:val="22"/>
              </w:rPr>
            </w:pPr>
            <w:r w:rsidRPr="006B7490">
              <w:rPr>
                <w:sz w:val="22"/>
              </w:rPr>
              <w:t>Eight school-based instructional coaches will work with teachers to plan, and engage in reflective coaching cycles. Coaches will frequently observe short portions of lessons, and provide content-specific feedback to observed teachers.</w:t>
            </w:r>
          </w:p>
        </w:tc>
        <w:tc>
          <w:tcPr>
            <w:tcW w:w="2444" w:type="dxa"/>
            <w:vAlign w:val="center"/>
          </w:tcPr>
          <w:p w14:paraId="4321A8FA" w14:textId="4060404B" w:rsidR="00275B41" w:rsidRPr="006B7490" w:rsidRDefault="004B55F5" w:rsidP="00AD36FF">
            <w:pPr>
              <w:pStyle w:val="Response"/>
              <w:spacing w:before="0" w:after="0" w:line="240" w:lineRule="auto"/>
              <w:rPr>
                <w:sz w:val="22"/>
              </w:rPr>
            </w:pPr>
            <w:r>
              <w:rPr>
                <w:sz w:val="22"/>
              </w:rPr>
              <w:t>Teachers u</w:t>
            </w:r>
            <w:r w:rsidR="00275B41" w:rsidRPr="006B7490">
              <w:rPr>
                <w:sz w:val="22"/>
              </w:rPr>
              <w:t>sing the “Fantastic Math” curriculum</w:t>
            </w:r>
          </w:p>
        </w:tc>
        <w:tc>
          <w:tcPr>
            <w:tcW w:w="1212" w:type="dxa"/>
            <w:vAlign w:val="center"/>
          </w:tcPr>
          <w:p w14:paraId="7D5C5429" w14:textId="6CC8E4DC" w:rsidR="00275B41" w:rsidRPr="006B7490" w:rsidRDefault="00275B41" w:rsidP="00AD36FF">
            <w:pPr>
              <w:pStyle w:val="Response"/>
              <w:spacing w:before="0" w:after="0" w:line="240" w:lineRule="auto"/>
              <w:rPr>
                <w:sz w:val="22"/>
              </w:rPr>
            </w:pPr>
            <w:r w:rsidRPr="006B7490">
              <w:rPr>
                <w:sz w:val="22"/>
              </w:rPr>
              <w:t>12/quarter</w:t>
            </w:r>
          </w:p>
        </w:tc>
      </w:tr>
      <w:tr w:rsidR="00275B41" w:rsidRPr="006B7490" w14:paraId="007F98C6" w14:textId="77777777" w:rsidTr="006B7490">
        <w:trPr>
          <w:jc w:val="center"/>
        </w:trPr>
        <w:tc>
          <w:tcPr>
            <w:tcW w:w="1885" w:type="dxa"/>
            <w:shd w:val="clear" w:color="auto" w:fill="D5E8F7"/>
            <w:vAlign w:val="center"/>
          </w:tcPr>
          <w:p w14:paraId="0B611D47" w14:textId="5D3FAF63" w:rsidR="00275B41" w:rsidRPr="006B7490" w:rsidRDefault="00275B41" w:rsidP="00AD36FF">
            <w:pPr>
              <w:pStyle w:val="Response"/>
              <w:spacing w:before="0" w:after="0" w:line="240" w:lineRule="auto"/>
              <w:rPr>
                <w:sz w:val="22"/>
              </w:rPr>
            </w:pPr>
            <w:r w:rsidRPr="006B7490">
              <w:rPr>
                <w:sz w:val="22"/>
              </w:rPr>
              <w:t xml:space="preserve">Initial Training </w:t>
            </w:r>
          </w:p>
        </w:tc>
        <w:tc>
          <w:tcPr>
            <w:tcW w:w="3819" w:type="dxa"/>
            <w:vAlign w:val="center"/>
          </w:tcPr>
          <w:p w14:paraId="27ACF27A" w14:textId="7200AAEE" w:rsidR="00275B41" w:rsidRPr="006B7490" w:rsidRDefault="00275B41" w:rsidP="00AD36FF">
            <w:pPr>
              <w:pStyle w:val="Response"/>
              <w:spacing w:before="0" w:after="0" w:line="240" w:lineRule="auto"/>
              <w:rPr>
                <w:sz w:val="22"/>
              </w:rPr>
            </w:pPr>
            <w:r w:rsidRPr="006B7490">
              <w:rPr>
                <w:sz w:val="22"/>
              </w:rPr>
              <w:t>Three-day professional learning experiences for those using the new curriculum.</w:t>
            </w:r>
          </w:p>
        </w:tc>
        <w:tc>
          <w:tcPr>
            <w:tcW w:w="2444" w:type="dxa"/>
            <w:vAlign w:val="center"/>
          </w:tcPr>
          <w:p w14:paraId="7775177A" w14:textId="0FE95335" w:rsidR="00275B41" w:rsidRPr="006B7490" w:rsidRDefault="004B55F5" w:rsidP="00AD36FF">
            <w:pPr>
              <w:pStyle w:val="Response"/>
              <w:spacing w:before="0" w:after="0" w:line="240" w:lineRule="auto"/>
              <w:rPr>
                <w:sz w:val="22"/>
              </w:rPr>
            </w:pPr>
            <w:r>
              <w:rPr>
                <w:sz w:val="22"/>
              </w:rPr>
              <w:t>Teachers u</w:t>
            </w:r>
            <w:r w:rsidR="00275B41" w:rsidRPr="006B7490">
              <w:rPr>
                <w:sz w:val="22"/>
              </w:rPr>
              <w:t>sing the “Fantastic Math” curriculum</w:t>
            </w:r>
          </w:p>
        </w:tc>
        <w:tc>
          <w:tcPr>
            <w:tcW w:w="1212" w:type="dxa"/>
            <w:vAlign w:val="center"/>
          </w:tcPr>
          <w:p w14:paraId="6212A638" w14:textId="072F3484" w:rsidR="00275B41" w:rsidRPr="006B7490" w:rsidRDefault="00275B41" w:rsidP="00AD36FF">
            <w:pPr>
              <w:pStyle w:val="Response"/>
              <w:spacing w:before="0" w:after="0" w:line="240" w:lineRule="auto"/>
              <w:rPr>
                <w:sz w:val="22"/>
              </w:rPr>
            </w:pPr>
            <w:r w:rsidRPr="006B7490">
              <w:rPr>
                <w:sz w:val="22"/>
              </w:rPr>
              <w:t>18</w:t>
            </w:r>
          </w:p>
        </w:tc>
      </w:tr>
      <w:tr w:rsidR="00275B41" w:rsidRPr="006B7490" w14:paraId="60D2F1CE" w14:textId="77777777" w:rsidTr="006B7490">
        <w:trPr>
          <w:jc w:val="center"/>
        </w:trPr>
        <w:tc>
          <w:tcPr>
            <w:tcW w:w="1885" w:type="dxa"/>
            <w:shd w:val="clear" w:color="auto" w:fill="D5E8F7"/>
            <w:vAlign w:val="center"/>
          </w:tcPr>
          <w:p w14:paraId="3A14A305" w14:textId="6F384EDD" w:rsidR="00275B41" w:rsidRPr="006B7490" w:rsidRDefault="00275B41" w:rsidP="00AD36FF">
            <w:pPr>
              <w:pStyle w:val="Response"/>
              <w:spacing w:before="0" w:after="0" w:line="240" w:lineRule="auto"/>
              <w:rPr>
                <w:sz w:val="22"/>
              </w:rPr>
            </w:pPr>
            <w:r w:rsidRPr="006B7490">
              <w:rPr>
                <w:sz w:val="22"/>
              </w:rPr>
              <w:t>Initial Training</w:t>
            </w:r>
          </w:p>
        </w:tc>
        <w:tc>
          <w:tcPr>
            <w:tcW w:w="3819" w:type="dxa"/>
            <w:vAlign w:val="center"/>
          </w:tcPr>
          <w:p w14:paraId="44BECE69" w14:textId="38FE4E45" w:rsidR="00275B41" w:rsidRPr="006B7490" w:rsidRDefault="00275B41" w:rsidP="00AD36FF">
            <w:pPr>
              <w:pStyle w:val="Response"/>
              <w:spacing w:before="0" w:after="0" w:line="240" w:lineRule="auto"/>
              <w:rPr>
                <w:sz w:val="22"/>
              </w:rPr>
            </w:pPr>
            <w:r w:rsidRPr="006B7490">
              <w:rPr>
                <w:sz w:val="22"/>
              </w:rPr>
              <w:t xml:space="preserve">A one-day session for teachers </w:t>
            </w:r>
            <w:r w:rsidRPr="006B7490">
              <w:rPr>
                <w:i/>
                <w:sz w:val="22"/>
              </w:rPr>
              <w:t>not</w:t>
            </w:r>
            <w:r w:rsidRPr="006B7490">
              <w:rPr>
                <w:sz w:val="22"/>
              </w:rPr>
              <w:t xml:space="preserve"> using the Fantastic Math curriculum intended to build common mathematics language and practices throughout the district.</w:t>
            </w:r>
          </w:p>
        </w:tc>
        <w:tc>
          <w:tcPr>
            <w:tcW w:w="2444" w:type="dxa"/>
            <w:vAlign w:val="center"/>
          </w:tcPr>
          <w:p w14:paraId="3A81CC46" w14:textId="0F0D8E40" w:rsidR="00275B41" w:rsidRPr="006B7490" w:rsidRDefault="00275B41" w:rsidP="00AD36FF">
            <w:pPr>
              <w:pStyle w:val="Response"/>
              <w:spacing w:before="0" w:after="0" w:line="240" w:lineRule="auto"/>
              <w:rPr>
                <w:sz w:val="22"/>
              </w:rPr>
            </w:pPr>
            <w:r w:rsidRPr="006B7490">
              <w:rPr>
                <w:sz w:val="22"/>
              </w:rPr>
              <w:t>All teachers</w:t>
            </w:r>
          </w:p>
        </w:tc>
        <w:tc>
          <w:tcPr>
            <w:tcW w:w="1212" w:type="dxa"/>
            <w:vAlign w:val="center"/>
          </w:tcPr>
          <w:p w14:paraId="20867212" w14:textId="1616F748" w:rsidR="00275B41" w:rsidRPr="006B7490" w:rsidRDefault="00275B41" w:rsidP="00AD36FF">
            <w:pPr>
              <w:pStyle w:val="Response"/>
              <w:spacing w:before="0" w:after="0" w:line="240" w:lineRule="auto"/>
              <w:rPr>
                <w:sz w:val="22"/>
              </w:rPr>
            </w:pPr>
            <w:r w:rsidRPr="006B7490">
              <w:rPr>
                <w:sz w:val="22"/>
              </w:rPr>
              <w:t>6</w:t>
            </w:r>
          </w:p>
        </w:tc>
      </w:tr>
      <w:tr w:rsidR="00275B41" w:rsidRPr="006B7490" w14:paraId="010F1E4D" w14:textId="77777777" w:rsidTr="006B7490">
        <w:trPr>
          <w:jc w:val="center"/>
        </w:trPr>
        <w:tc>
          <w:tcPr>
            <w:tcW w:w="1885" w:type="dxa"/>
            <w:shd w:val="clear" w:color="auto" w:fill="D5E8F7"/>
            <w:vAlign w:val="center"/>
          </w:tcPr>
          <w:p w14:paraId="179360CD" w14:textId="291D5884" w:rsidR="00275B41" w:rsidRPr="006B7490" w:rsidRDefault="00275B41" w:rsidP="00AD36FF">
            <w:pPr>
              <w:pStyle w:val="Response"/>
              <w:spacing w:before="0" w:after="0" w:line="240" w:lineRule="auto"/>
              <w:rPr>
                <w:sz w:val="22"/>
              </w:rPr>
            </w:pPr>
            <w:r w:rsidRPr="006B7490">
              <w:rPr>
                <w:sz w:val="22"/>
              </w:rPr>
              <w:t>Principal Training</w:t>
            </w:r>
          </w:p>
        </w:tc>
        <w:tc>
          <w:tcPr>
            <w:tcW w:w="3819" w:type="dxa"/>
            <w:vAlign w:val="center"/>
          </w:tcPr>
          <w:p w14:paraId="0BF560B5" w14:textId="15444BEE" w:rsidR="00275B41" w:rsidRPr="006B7490" w:rsidRDefault="00886974" w:rsidP="00AD36FF">
            <w:pPr>
              <w:pStyle w:val="Response"/>
              <w:spacing w:before="0" w:after="0" w:line="240" w:lineRule="auto"/>
              <w:rPr>
                <w:sz w:val="22"/>
              </w:rPr>
            </w:pPr>
            <w:r w:rsidRPr="006B7490">
              <w:rPr>
                <w:sz w:val="22"/>
              </w:rPr>
              <w:t>T</w:t>
            </w:r>
            <w:r w:rsidR="00275B41" w:rsidRPr="006B7490">
              <w:rPr>
                <w:sz w:val="22"/>
              </w:rPr>
              <w:t>hree-day initial session intended for those who will observe and support those teaching Fantastic Math</w:t>
            </w:r>
            <w:r w:rsidRPr="006B7490">
              <w:rPr>
                <w:sz w:val="22"/>
              </w:rPr>
              <w:t>.</w:t>
            </w:r>
          </w:p>
        </w:tc>
        <w:tc>
          <w:tcPr>
            <w:tcW w:w="2444" w:type="dxa"/>
            <w:vAlign w:val="center"/>
          </w:tcPr>
          <w:p w14:paraId="0DFD2962" w14:textId="63B2232C" w:rsidR="00275B41" w:rsidRPr="006B7490" w:rsidRDefault="00275B41" w:rsidP="00AD36FF">
            <w:pPr>
              <w:pStyle w:val="Response"/>
              <w:spacing w:before="0" w:after="0" w:line="240" w:lineRule="auto"/>
              <w:rPr>
                <w:sz w:val="22"/>
              </w:rPr>
            </w:pPr>
            <w:r w:rsidRPr="006B7490">
              <w:rPr>
                <w:sz w:val="22"/>
              </w:rPr>
              <w:t>Any who observe and/or support teachers of math</w:t>
            </w:r>
          </w:p>
        </w:tc>
        <w:tc>
          <w:tcPr>
            <w:tcW w:w="1212" w:type="dxa"/>
            <w:vAlign w:val="center"/>
          </w:tcPr>
          <w:p w14:paraId="44295783" w14:textId="43FC3B7B" w:rsidR="00275B41" w:rsidRPr="006B7490" w:rsidRDefault="00275B41" w:rsidP="00AD36FF">
            <w:pPr>
              <w:pStyle w:val="Response"/>
              <w:spacing w:before="0" w:after="0" w:line="240" w:lineRule="auto"/>
              <w:rPr>
                <w:sz w:val="22"/>
              </w:rPr>
            </w:pPr>
            <w:r w:rsidRPr="006B7490">
              <w:rPr>
                <w:sz w:val="22"/>
              </w:rPr>
              <w:t>18</w:t>
            </w:r>
          </w:p>
        </w:tc>
      </w:tr>
      <w:tr w:rsidR="006B7490" w:rsidRPr="006B7490" w14:paraId="681CD8BA" w14:textId="77777777" w:rsidTr="006B7490">
        <w:trPr>
          <w:jc w:val="center"/>
        </w:trPr>
        <w:tc>
          <w:tcPr>
            <w:tcW w:w="1885" w:type="dxa"/>
            <w:vMerge w:val="restart"/>
            <w:shd w:val="clear" w:color="auto" w:fill="D5E8F7"/>
            <w:vAlign w:val="center"/>
          </w:tcPr>
          <w:p w14:paraId="521C9F21" w14:textId="77777777" w:rsidR="006B7490" w:rsidRDefault="006B7490" w:rsidP="00AD36FF">
            <w:pPr>
              <w:pStyle w:val="Response"/>
              <w:spacing w:before="0" w:after="0" w:line="240" w:lineRule="auto"/>
              <w:rPr>
                <w:sz w:val="22"/>
              </w:rPr>
            </w:pPr>
            <w:r w:rsidRPr="006B7490">
              <w:rPr>
                <w:sz w:val="22"/>
              </w:rPr>
              <w:t>Student work review teams/</w:t>
            </w:r>
          </w:p>
          <w:p w14:paraId="7213E2E3" w14:textId="472784C0" w:rsidR="006B7490" w:rsidRPr="006B7490" w:rsidRDefault="006B7490" w:rsidP="00AD36FF">
            <w:pPr>
              <w:pStyle w:val="Response"/>
              <w:spacing w:before="0" w:after="0" w:line="240" w:lineRule="auto"/>
              <w:rPr>
                <w:sz w:val="22"/>
              </w:rPr>
            </w:pPr>
            <w:r w:rsidRPr="006B7490">
              <w:rPr>
                <w:sz w:val="22"/>
              </w:rPr>
              <w:lastRenderedPageBreak/>
              <w:t>collaborative planning</w:t>
            </w:r>
          </w:p>
        </w:tc>
        <w:tc>
          <w:tcPr>
            <w:tcW w:w="3819" w:type="dxa"/>
            <w:vAlign w:val="center"/>
          </w:tcPr>
          <w:p w14:paraId="7FF41F6A" w14:textId="37DE6051" w:rsidR="006B7490" w:rsidRPr="006B7490" w:rsidRDefault="006B7490" w:rsidP="00AD36FF">
            <w:pPr>
              <w:pStyle w:val="Response"/>
              <w:spacing w:before="0" w:after="0" w:line="240" w:lineRule="auto"/>
              <w:rPr>
                <w:sz w:val="22"/>
              </w:rPr>
            </w:pPr>
            <w:r w:rsidRPr="006B7490">
              <w:rPr>
                <w:sz w:val="22"/>
              </w:rPr>
              <w:lastRenderedPageBreak/>
              <w:t xml:space="preserve">Staff meetings focused on review of student work. Teachers using Fantastic Math will have a particular focus on </w:t>
            </w:r>
            <w:r w:rsidRPr="006B7490">
              <w:rPr>
                <w:sz w:val="22"/>
              </w:rPr>
              <w:lastRenderedPageBreak/>
              <w:t>completing the work students will do in an upcoming lesson, while reflecting on student work from a prior lesson.</w:t>
            </w:r>
          </w:p>
        </w:tc>
        <w:tc>
          <w:tcPr>
            <w:tcW w:w="2444" w:type="dxa"/>
            <w:vAlign w:val="center"/>
          </w:tcPr>
          <w:p w14:paraId="53661693" w14:textId="1EA510FB" w:rsidR="006B7490" w:rsidRPr="006B7490" w:rsidRDefault="00D87E0A" w:rsidP="0058243A">
            <w:pPr>
              <w:pStyle w:val="Response"/>
              <w:spacing w:before="0" w:after="0" w:line="240" w:lineRule="auto"/>
              <w:rPr>
                <w:sz w:val="22"/>
              </w:rPr>
            </w:pPr>
            <w:r>
              <w:rPr>
                <w:sz w:val="22"/>
              </w:rPr>
              <w:lastRenderedPageBreak/>
              <w:t xml:space="preserve">Administrators &amp; </w:t>
            </w:r>
            <w:r w:rsidR="006B7490" w:rsidRPr="006B7490">
              <w:rPr>
                <w:sz w:val="22"/>
              </w:rPr>
              <w:t>Teachers</w:t>
            </w:r>
          </w:p>
        </w:tc>
        <w:tc>
          <w:tcPr>
            <w:tcW w:w="1212" w:type="dxa"/>
            <w:vAlign w:val="center"/>
          </w:tcPr>
          <w:p w14:paraId="0E7CE2FE" w14:textId="3DFB39B5" w:rsidR="006B7490" w:rsidRPr="006B7490" w:rsidRDefault="00CF5215" w:rsidP="00AD36FF">
            <w:pPr>
              <w:pStyle w:val="Response"/>
              <w:spacing w:before="0" w:after="0" w:line="240" w:lineRule="auto"/>
              <w:rPr>
                <w:sz w:val="22"/>
              </w:rPr>
            </w:pPr>
            <w:r>
              <w:rPr>
                <w:sz w:val="22"/>
              </w:rPr>
              <w:t>30</w:t>
            </w:r>
          </w:p>
        </w:tc>
      </w:tr>
      <w:tr w:rsidR="006B7490" w:rsidRPr="006B7490" w14:paraId="78AABD05" w14:textId="77777777" w:rsidTr="006B7490">
        <w:trPr>
          <w:jc w:val="center"/>
        </w:trPr>
        <w:tc>
          <w:tcPr>
            <w:tcW w:w="1885" w:type="dxa"/>
            <w:vMerge/>
            <w:shd w:val="clear" w:color="auto" w:fill="D5E8F7"/>
            <w:vAlign w:val="center"/>
          </w:tcPr>
          <w:p w14:paraId="35B34916" w14:textId="77777777" w:rsidR="006B7490" w:rsidRPr="006B7490" w:rsidRDefault="006B7490" w:rsidP="00AD36FF">
            <w:pPr>
              <w:pStyle w:val="Response"/>
              <w:spacing w:before="0" w:after="0" w:line="240" w:lineRule="auto"/>
              <w:rPr>
                <w:sz w:val="22"/>
              </w:rPr>
            </w:pPr>
          </w:p>
        </w:tc>
        <w:tc>
          <w:tcPr>
            <w:tcW w:w="3819" w:type="dxa"/>
            <w:vAlign w:val="center"/>
          </w:tcPr>
          <w:p w14:paraId="3A07B1F3" w14:textId="348B29A1" w:rsidR="006B7490" w:rsidRPr="006B7490" w:rsidRDefault="006B7490" w:rsidP="00AD36FF">
            <w:pPr>
              <w:pStyle w:val="Response"/>
              <w:spacing w:before="0" w:after="0" w:line="240" w:lineRule="auto"/>
              <w:rPr>
                <w:sz w:val="22"/>
              </w:rPr>
            </w:pPr>
            <w:r w:rsidRPr="006B7490">
              <w:rPr>
                <w:sz w:val="22"/>
              </w:rPr>
              <w:t>Job-alike team meetings (across sites)</w:t>
            </w:r>
          </w:p>
        </w:tc>
        <w:tc>
          <w:tcPr>
            <w:tcW w:w="2444" w:type="dxa"/>
            <w:vAlign w:val="center"/>
          </w:tcPr>
          <w:p w14:paraId="544292C4" w14:textId="59C8CDA5" w:rsidR="006B7490" w:rsidRPr="006B7490" w:rsidRDefault="006B7490" w:rsidP="00AD36FF">
            <w:pPr>
              <w:pStyle w:val="Response"/>
              <w:spacing w:before="0" w:after="0" w:line="240" w:lineRule="auto"/>
              <w:rPr>
                <w:sz w:val="22"/>
              </w:rPr>
            </w:pPr>
            <w:r w:rsidRPr="006B7490">
              <w:rPr>
                <w:sz w:val="22"/>
              </w:rPr>
              <w:t>Teachers and Support Professionals</w:t>
            </w:r>
          </w:p>
        </w:tc>
        <w:tc>
          <w:tcPr>
            <w:tcW w:w="1212" w:type="dxa"/>
            <w:vAlign w:val="center"/>
          </w:tcPr>
          <w:p w14:paraId="19053ABA" w14:textId="7B7F5967" w:rsidR="006B7490" w:rsidRPr="006B7490" w:rsidRDefault="00CF5215" w:rsidP="00AD36FF">
            <w:pPr>
              <w:pStyle w:val="Response"/>
              <w:spacing w:before="0" w:after="0" w:line="240" w:lineRule="auto"/>
              <w:rPr>
                <w:sz w:val="22"/>
              </w:rPr>
            </w:pPr>
            <w:r>
              <w:rPr>
                <w:sz w:val="22"/>
              </w:rPr>
              <w:t>24</w:t>
            </w:r>
          </w:p>
        </w:tc>
      </w:tr>
      <w:tr w:rsidR="006B7490" w:rsidRPr="006B7490" w14:paraId="251FD395" w14:textId="77777777" w:rsidTr="006B7490">
        <w:trPr>
          <w:jc w:val="center"/>
        </w:trPr>
        <w:tc>
          <w:tcPr>
            <w:tcW w:w="1885" w:type="dxa"/>
            <w:vMerge w:val="restart"/>
            <w:shd w:val="clear" w:color="auto" w:fill="D5E8F7"/>
            <w:vAlign w:val="center"/>
          </w:tcPr>
          <w:p w14:paraId="492265A6" w14:textId="6DB36249" w:rsidR="006B7490" w:rsidRPr="006B7490" w:rsidRDefault="006B7490" w:rsidP="00AD36FF">
            <w:pPr>
              <w:pStyle w:val="Response"/>
              <w:spacing w:before="0" w:after="0" w:line="240" w:lineRule="auto"/>
              <w:rPr>
                <w:sz w:val="22"/>
              </w:rPr>
            </w:pPr>
            <w:r w:rsidRPr="006B7490">
              <w:rPr>
                <w:sz w:val="22"/>
              </w:rPr>
              <w:t>Curriculum implementation teams</w:t>
            </w:r>
          </w:p>
        </w:tc>
        <w:tc>
          <w:tcPr>
            <w:tcW w:w="3819" w:type="dxa"/>
            <w:vAlign w:val="center"/>
          </w:tcPr>
          <w:p w14:paraId="47A25C75" w14:textId="15CE8315" w:rsidR="006B7490" w:rsidRPr="006B7490" w:rsidRDefault="006B7490" w:rsidP="00AD36FF">
            <w:pPr>
              <w:pStyle w:val="Response"/>
              <w:spacing w:before="0" w:after="0" w:line="240" w:lineRule="auto"/>
              <w:rPr>
                <w:sz w:val="22"/>
              </w:rPr>
            </w:pPr>
            <w:r w:rsidRPr="006B7490">
              <w:rPr>
                <w:sz w:val="22"/>
              </w:rPr>
              <w:t>Site-based and grade/department level meetings across sites; job-alike team meetings (across sites)</w:t>
            </w:r>
          </w:p>
        </w:tc>
        <w:tc>
          <w:tcPr>
            <w:tcW w:w="2444" w:type="dxa"/>
            <w:vAlign w:val="center"/>
          </w:tcPr>
          <w:p w14:paraId="3AC1D576" w14:textId="4B5EC3F0" w:rsidR="006B7490" w:rsidRPr="006B7490" w:rsidRDefault="006B7490" w:rsidP="0058243A">
            <w:pPr>
              <w:pStyle w:val="Response"/>
              <w:spacing w:before="0" w:after="0" w:line="240" w:lineRule="auto"/>
              <w:rPr>
                <w:sz w:val="22"/>
              </w:rPr>
            </w:pPr>
            <w:r w:rsidRPr="006B7490">
              <w:rPr>
                <w:sz w:val="22"/>
              </w:rPr>
              <w:t>Teachers (recruitment/application process)</w:t>
            </w:r>
          </w:p>
        </w:tc>
        <w:tc>
          <w:tcPr>
            <w:tcW w:w="1212" w:type="dxa"/>
            <w:vAlign w:val="center"/>
          </w:tcPr>
          <w:p w14:paraId="3926EB5B" w14:textId="21F81B7A" w:rsidR="006B7490" w:rsidRPr="006B7490" w:rsidRDefault="00CF5215" w:rsidP="00AD36FF">
            <w:pPr>
              <w:pStyle w:val="Response"/>
              <w:spacing w:before="0" w:after="0" w:line="240" w:lineRule="auto"/>
              <w:rPr>
                <w:sz w:val="22"/>
              </w:rPr>
            </w:pPr>
            <w:r>
              <w:rPr>
                <w:sz w:val="22"/>
              </w:rPr>
              <w:t>24</w:t>
            </w:r>
          </w:p>
        </w:tc>
      </w:tr>
      <w:tr w:rsidR="006B7490" w:rsidRPr="006B7490" w14:paraId="19546E52" w14:textId="77777777" w:rsidTr="006B7490">
        <w:trPr>
          <w:jc w:val="center"/>
        </w:trPr>
        <w:tc>
          <w:tcPr>
            <w:tcW w:w="1885" w:type="dxa"/>
            <w:vMerge/>
            <w:shd w:val="clear" w:color="auto" w:fill="D5E8F7"/>
            <w:vAlign w:val="center"/>
          </w:tcPr>
          <w:p w14:paraId="5104C695" w14:textId="77777777" w:rsidR="006B7490" w:rsidRPr="006B7490" w:rsidRDefault="006B7490" w:rsidP="00AD36FF">
            <w:pPr>
              <w:pStyle w:val="Response"/>
              <w:spacing w:before="0" w:after="0" w:line="240" w:lineRule="auto"/>
              <w:rPr>
                <w:sz w:val="22"/>
              </w:rPr>
            </w:pPr>
          </w:p>
        </w:tc>
        <w:tc>
          <w:tcPr>
            <w:tcW w:w="3819" w:type="dxa"/>
            <w:vAlign w:val="center"/>
          </w:tcPr>
          <w:p w14:paraId="3F431899" w14:textId="5A9427CC" w:rsidR="006B7490" w:rsidRPr="006B7490" w:rsidRDefault="006B7490" w:rsidP="00AD36FF">
            <w:pPr>
              <w:pStyle w:val="Response"/>
              <w:spacing w:before="0" w:after="0" w:line="240" w:lineRule="auto"/>
              <w:rPr>
                <w:sz w:val="22"/>
              </w:rPr>
            </w:pPr>
            <w:r w:rsidRPr="006B7490">
              <w:rPr>
                <w:sz w:val="22"/>
              </w:rPr>
              <w:t>Principal meetings (across sites)</w:t>
            </w:r>
          </w:p>
        </w:tc>
        <w:tc>
          <w:tcPr>
            <w:tcW w:w="2444" w:type="dxa"/>
            <w:vAlign w:val="center"/>
          </w:tcPr>
          <w:p w14:paraId="0C137097" w14:textId="00C7A198" w:rsidR="006B7490" w:rsidRPr="006B7490" w:rsidRDefault="006B7490" w:rsidP="00AD36FF">
            <w:pPr>
              <w:pStyle w:val="Response"/>
              <w:spacing w:before="0" w:after="0" w:line="240" w:lineRule="auto"/>
              <w:rPr>
                <w:sz w:val="22"/>
              </w:rPr>
            </w:pPr>
            <w:r w:rsidRPr="006B7490">
              <w:rPr>
                <w:sz w:val="22"/>
              </w:rPr>
              <w:t>Administrators (recruitment/application process)</w:t>
            </w:r>
          </w:p>
        </w:tc>
        <w:tc>
          <w:tcPr>
            <w:tcW w:w="1212" w:type="dxa"/>
            <w:vAlign w:val="center"/>
          </w:tcPr>
          <w:p w14:paraId="60D2FD83" w14:textId="227E1319" w:rsidR="006B7490" w:rsidRPr="006B7490" w:rsidRDefault="00CF5215" w:rsidP="00AD36FF">
            <w:pPr>
              <w:pStyle w:val="Response"/>
              <w:spacing w:before="0" w:after="0" w:line="240" w:lineRule="auto"/>
              <w:rPr>
                <w:sz w:val="22"/>
              </w:rPr>
            </w:pPr>
            <w:r>
              <w:rPr>
                <w:sz w:val="22"/>
              </w:rPr>
              <w:t>24</w:t>
            </w:r>
          </w:p>
        </w:tc>
      </w:tr>
      <w:tr w:rsidR="006B7490" w:rsidRPr="006B7490" w14:paraId="4E7C0A30" w14:textId="77777777" w:rsidTr="006B7490">
        <w:trPr>
          <w:jc w:val="center"/>
        </w:trPr>
        <w:tc>
          <w:tcPr>
            <w:tcW w:w="1885" w:type="dxa"/>
            <w:vMerge w:val="restart"/>
            <w:shd w:val="clear" w:color="auto" w:fill="D5E8F7"/>
            <w:vAlign w:val="center"/>
          </w:tcPr>
          <w:p w14:paraId="121955B3" w14:textId="0FA99CAF" w:rsidR="006B7490" w:rsidRPr="006B7490" w:rsidRDefault="006B7490" w:rsidP="00AD36FF">
            <w:pPr>
              <w:pStyle w:val="Response"/>
              <w:spacing w:before="0" w:after="0" w:line="240" w:lineRule="auto"/>
              <w:rPr>
                <w:sz w:val="22"/>
              </w:rPr>
            </w:pPr>
            <w:r w:rsidRPr="006B7490">
              <w:rPr>
                <w:sz w:val="22"/>
              </w:rPr>
              <w:t>Improvement cycle activities</w:t>
            </w:r>
          </w:p>
        </w:tc>
        <w:tc>
          <w:tcPr>
            <w:tcW w:w="3819" w:type="dxa"/>
            <w:vAlign w:val="center"/>
          </w:tcPr>
          <w:p w14:paraId="70F96208" w14:textId="78EC92FA" w:rsidR="006B7490" w:rsidRPr="006B7490" w:rsidRDefault="006B7490" w:rsidP="00AD36FF">
            <w:pPr>
              <w:pStyle w:val="Response"/>
              <w:spacing w:before="0" w:after="0" w:line="240" w:lineRule="auto"/>
              <w:rPr>
                <w:sz w:val="22"/>
              </w:rPr>
            </w:pPr>
            <w:r w:rsidRPr="006B7490">
              <w:rPr>
                <w:sz w:val="22"/>
              </w:rPr>
              <w:t>Communities of Practice meetings (across sites)</w:t>
            </w:r>
          </w:p>
        </w:tc>
        <w:tc>
          <w:tcPr>
            <w:tcW w:w="2444" w:type="dxa"/>
            <w:vAlign w:val="center"/>
          </w:tcPr>
          <w:p w14:paraId="2A32BAFA" w14:textId="26CF83DF" w:rsidR="006B7490" w:rsidRPr="006B7490" w:rsidRDefault="006B7490" w:rsidP="00AD36FF">
            <w:pPr>
              <w:pStyle w:val="Response"/>
              <w:spacing w:before="0" w:after="0" w:line="240" w:lineRule="auto"/>
              <w:rPr>
                <w:sz w:val="22"/>
              </w:rPr>
            </w:pPr>
            <w:r w:rsidRPr="006B7490">
              <w:rPr>
                <w:sz w:val="22"/>
              </w:rPr>
              <w:t>Administrators, Teachers, and Support Professionals</w:t>
            </w:r>
          </w:p>
        </w:tc>
        <w:tc>
          <w:tcPr>
            <w:tcW w:w="1212" w:type="dxa"/>
            <w:vAlign w:val="center"/>
          </w:tcPr>
          <w:p w14:paraId="773BDC36" w14:textId="66E24B8F" w:rsidR="006B7490" w:rsidRPr="006B7490" w:rsidRDefault="00CF5215" w:rsidP="00AD36FF">
            <w:pPr>
              <w:pStyle w:val="Response"/>
              <w:spacing w:before="0" w:after="0" w:line="240" w:lineRule="auto"/>
              <w:rPr>
                <w:sz w:val="22"/>
              </w:rPr>
            </w:pPr>
            <w:r>
              <w:rPr>
                <w:sz w:val="22"/>
              </w:rPr>
              <w:t>30</w:t>
            </w:r>
          </w:p>
        </w:tc>
      </w:tr>
      <w:tr w:rsidR="006B7490" w:rsidRPr="006B7490" w14:paraId="0DA9ED78" w14:textId="77777777" w:rsidTr="006B7490">
        <w:trPr>
          <w:jc w:val="center"/>
        </w:trPr>
        <w:tc>
          <w:tcPr>
            <w:tcW w:w="1885" w:type="dxa"/>
            <w:vMerge/>
            <w:shd w:val="clear" w:color="auto" w:fill="D5E8F7"/>
            <w:vAlign w:val="center"/>
          </w:tcPr>
          <w:p w14:paraId="079FB5F9" w14:textId="77777777" w:rsidR="006B7490" w:rsidRPr="006B7490" w:rsidRDefault="006B7490" w:rsidP="00AD36FF">
            <w:pPr>
              <w:pStyle w:val="Response"/>
              <w:spacing w:before="0" w:after="0" w:line="240" w:lineRule="auto"/>
              <w:rPr>
                <w:sz w:val="22"/>
              </w:rPr>
            </w:pPr>
          </w:p>
        </w:tc>
        <w:tc>
          <w:tcPr>
            <w:tcW w:w="3819" w:type="dxa"/>
            <w:vAlign w:val="center"/>
          </w:tcPr>
          <w:p w14:paraId="1514BF77" w14:textId="523BFBA8" w:rsidR="006B7490" w:rsidRPr="006B7490" w:rsidRDefault="006B7490" w:rsidP="00AD36FF">
            <w:pPr>
              <w:pStyle w:val="Response"/>
              <w:spacing w:before="0" w:after="0" w:line="240" w:lineRule="auto"/>
              <w:rPr>
                <w:sz w:val="22"/>
              </w:rPr>
            </w:pPr>
            <w:r w:rsidRPr="006B7490">
              <w:rPr>
                <w:sz w:val="22"/>
              </w:rPr>
              <w:t>School improvement-related meetings</w:t>
            </w:r>
          </w:p>
        </w:tc>
        <w:tc>
          <w:tcPr>
            <w:tcW w:w="2444" w:type="dxa"/>
            <w:vAlign w:val="center"/>
          </w:tcPr>
          <w:p w14:paraId="5801FFF0" w14:textId="62324E73" w:rsidR="006B7490" w:rsidRPr="006B7490" w:rsidRDefault="006B7490" w:rsidP="00AD36FF">
            <w:pPr>
              <w:pStyle w:val="Response"/>
              <w:spacing w:before="0" w:after="0" w:line="240" w:lineRule="auto"/>
              <w:rPr>
                <w:sz w:val="22"/>
              </w:rPr>
            </w:pPr>
            <w:r w:rsidRPr="006B7490">
              <w:rPr>
                <w:sz w:val="22"/>
              </w:rPr>
              <w:t>Administrators, Teachers, and Support Professionals</w:t>
            </w:r>
          </w:p>
        </w:tc>
        <w:tc>
          <w:tcPr>
            <w:tcW w:w="1212" w:type="dxa"/>
            <w:vAlign w:val="center"/>
          </w:tcPr>
          <w:p w14:paraId="5FC46D82" w14:textId="58D29629" w:rsidR="006B7490" w:rsidRPr="006B7490" w:rsidRDefault="00CF5215" w:rsidP="00AD36FF">
            <w:pPr>
              <w:pStyle w:val="Response"/>
              <w:spacing w:before="0" w:after="0" w:line="240" w:lineRule="auto"/>
              <w:rPr>
                <w:sz w:val="22"/>
              </w:rPr>
            </w:pPr>
            <w:r>
              <w:rPr>
                <w:sz w:val="22"/>
              </w:rPr>
              <w:t>12</w:t>
            </w:r>
          </w:p>
        </w:tc>
      </w:tr>
      <w:tr w:rsidR="00886974" w:rsidRPr="006B7490" w14:paraId="2BDDBF7E" w14:textId="77777777" w:rsidTr="006B7490">
        <w:trPr>
          <w:jc w:val="center"/>
        </w:trPr>
        <w:tc>
          <w:tcPr>
            <w:tcW w:w="1885" w:type="dxa"/>
            <w:shd w:val="clear" w:color="auto" w:fill="D5E8F7"/>
            <w:vAlign w:val="center"/>
          </w:tcPr>
          <w:p w14:paraId="4B07D4E2" w14:textId="3FD339A0" w:rsidR="00886974" w:rsidRPr="006B7490" w:rsidRDefault="00886974" w:rsidP="00AD36FF">
            <w:pPr>
              <w:pStyle w:val="Response"/>
              <w:spacing w:before="0" w:after="0" w:line="240" w:lineRule="auto"/>
              <w:rPr>
                <w:sz w:val="22"/>
              </w:rPr>
            </w:pPr>
            <w:r w:rsidRPr="006B7490">
              <w:rPr>
                <w:sz w:val="22"/>
              </w:rPr>
              <w:t>Induction activities</w:t>
            </w:r>
          </w:p>
        </w:tc>
        <w:tc>
          <w:tcPr>
            <w:tcW w:w="3819" w:type="dxa"/>
            <w:vAlign w:val="center"/>
          </w:tcPr>
          <w:p w14:paraId="067EB61A" w14:textId="5AF0BBA5" w:rsidR="00886974" w:rsidRPr="006B7490" w:rsidRDefault="0058243A" w:rsidP="00AD36FF">
            <w:pPr>
              <w:pStyle w:val="Response"/>
              <w:spacing w:before="0" w:after="0" w:line="240" w:lineRule="auto"/>
              <w:rPr>
                <w:sz w:val="22"/>
              </w:rPr>
            </w:pPr>
            <w:r>
              <w:rPr>
                <w:sz w:val="22"/>
              </w:rPr>
              <w:t>90-min. weekly meetings between induction coaches and mentees, in addition to observations, modeling co-teaching, lesson-design, and analyzing student work</w:t>
            </w:r>
          </w:p>
        </w:tc>
        <w:tc>
          <w:tcPr>
            <w:tcW w:w="2444" w:type="dxa"/>
            <w:vAlign w:val="center"/>
          </w:tcPr>
          <w:p w14:paraId="461CA84F" w14:textId="00DA768D" w:rsidR="00886974" w:rsidRPr="006B7490" w:rsidRDefault="00886974" w:rsidP="00AD36FF">
            <w:pPr>
              <w:pStyle w:val="Response"/>
              <w:spacing w:before="0" w:after="0" w:line="240" w:lineRule="auto"/>
              <w:rPr>
                <w:sz w:val="22"/>
              </w:rPr>
            </w:pPr>
            <w:r w:rsidRPr="006B7490">
              <w:rPr>
                <w:sz w:val="22"/>
              </w:rPr>
              <w:t>Teachers and Support Professionals (new hires)</w:t>
            </w:r>
          </w:p>
        </w:tc>
        <w:tc>
          <w:tcPr>
            <w:tcW w:w="1212" w:type="dxa"/>
            <w:vAlign w:val="center"/>
          </w:tcPr>
          <w:p w14:paraId="5471C6A0" w14:textId="76E6C2AE" w:rsidR="00886974" w:rsidRPr="006B7490" w:rsidRDefault="0058243A" w:rsidP="00AD36FF">
            <w:pPr>
              <w:pStyle w:val="Response"/>
              <w:spacing w:before="0" w:after="0" w:line="240" w:lineRule="auto"/>
              <w:rPr>
                <w:sz w:val="22"/>
              </w:rPr>
            </w:pPr>
            <w:r>
              <w:rPr>
                <w:sz w:val="22"/>
              </w:rPr>
              <w:t>24</w:t>
            </w:r>
          </w:p>
        </w:tc>
      </w:tr>
      <w:tr w:rsidR="00886974" w:rsidRPr="006B7490" w14:paraId="6D942BDB" w14:textId="77777777" w:rsidTr="006B7490">
        <w:trPr>
          <w:jc w:val="center"/>
        </w:trPr>
        <w:tc>
          <w:tcPr>
            <w:tcW w:w="1885" w:type="dxa"/>
            <w:shd w:val="clear" w:color="auto" w:fill="D5E8F7"/>
            <w:vAlign w:val="center"/>
          </w:tcPr>
          <w:p w14:paraId="71499C84" w14:textId="7B322753" w:rsidR="00886974" w:rsidRPr="006B7490" w:rsidRDefault="00886974" w:rsidP="00AD36FF">
            <w:pPr>
              <w:pStyle w:val="Response"/>
              <w:spacing w:before="0" w:after="0" w:line="240" w:lineRule="auto"/>
              <w:rPr>
                <w:sz w:val="22"/>
              </w:rPr>
            </w:pPr>
            <w:r w:rsidRPr="006B7490">
              <w:rPr>
                <w:sz w:val="22"/>
              </w:rPr>
              <w:t>Mentoring activities</w:t>
            </w:r>
          </w:p>
        </w:tc>
        <w:tc>
          <w:tcPr>
            <w:tcW w:w="3819" w:type="dxa"/>
            <w:vAlign w:val="center"/>
          </w:tcPr>
          <w:p w14:paraId="300668EB" w14:textId="4E1BA1A6" w:rsidR="00886974" w:rsidRPr="006B7490" w:rsidRDefault="00886974" w:rsidP="00AD36FF">
            <w:pPr>
              <w:pStyle w:val="Response"/>
              <w:spacing w:before="0" w:after="0" w:line="240" w:lineRule="auto"/>
              <w:rPr>
                <w:sz w:val="22"/>
              </w:rPr>
            </w:pPr>
            <w:r w:rsidRPr="006B7490">
              <w:rPr>
                <w:sz w:val="22"/>
              </w:rPr>
              <w:t>Meetings of mentors and mentees</w:t>
            </w:r>
          </w:p>
        </w:tc>
        <w:tc>
          <w:tcPr>
            <w:tcW w:w="2444" w:type="dxa"/>
            <w:vAlign w:val="center"/>
          </w:tcPr>
          <w:p w14:paraId="00F3C7AE" w14:textId="151538F2" w:rsidR="00886974" w:rsidRPr="006B7490" w:rsidRDefault="00886974" w:rsidP="00AD36FF">
            <w:pPr>
              <w:pStyle w:val="Response"/>
              <w:spacing w:before="0" w:after="0" w:line="240" w:lineRule="auto"/>
              <w:rPr>
                <w:sz w:val="22"/>
              </w:rPr>
            </w:pPr>
            <w:r w:rsidRPr="006B7490">
              <w:rPr>
                <w:sz w:val="22"/>
              </w:rPr>
              <w:t>Teachers and Support Professionals (beginning years)</w:t>
            </w:r>
          </w:p>
        </w:tc>
        <w:tc>
          <w:tcPr>
            <w:tcW w:w="1212" w:type="dxa"/>
            <w:vAlign w:val="center"/>
          </w:tcPr>
          <w:p w14:paraId="23401C8E" w14:textId="013A718D" w:rsidR="00886974" w:rsidRPr="0058243A" w:rsidRDefault="0058243A" w:rsidP="00AD36FF">
            <w:pPr>
              <w:pStyle w:val="Response"/>
              <w:spacing w:before="0" w:after="0" w:line="240" w:lineRule="auto"/>
              <w:rPr>
                <w:sz w:val="22"/>
              </w:rPr>
            </w:pPr>
            <w:r>
              <w:rPr>
                <w:sz w:val="22"/>
              </w:rPr>
              <w:t>10</w:t>
            </w:r>
          </w:p>
        </w:tc>
      </w:tr>
      <w:tr w:rsidR="00886974" w:rsidRPr="006B7490" w14:paraId="4EB7531F" w14:textId="77777777" w:rsidTr="006B7490">
        <w:trPr>
          <w:jc w:val="center"/>
        </w:trPr>
        <w:tc>
          <w:tcPr>
            <w:tcW w:w="1885" w:type="dxa"/>
            <w:shd w:val="clear" w:color="auto" w:fill="D5E8F7"/>
            <w:vAlign w:val="center"/>
          </w:tcPr>
          <w:p w14:paraId="0E4A14F8" w14:textId="16E7D0DC" w:rsidR="00886974" w:rsidRPr="0058243A" w:rsidRDefault="00886974" w:rsidP="00D87E0A">
            <w:pPr>
              <w:pStyle w:val="Response"/>
              <w:spacing w:before="0" w:after="0" w:line="240" w:lineRule="auto"/>
              <w:rPr>
                <w:sz w:val="22"/>
              </w:rPr>
            </w:pPr>
            <w:r w:rsidRPr="0058243A">
              <w:rPr>
                <w:sz w:val="22"/>
              </w:rPr>
              <w:t xml:space="preserve">Analyzing student data for </w:t>
            </w:r>
            <w:r w:rsidR="00D87E0A" w:rsidRPr="0058243A">
              <w:rPr>
                <w:sz w:val="22"/>
              </w:rPr>
              <w:t>support professionals</w:t>
            </w:r>
          </w:p>
        </w:tc>
        <w:tc>
          <w:tcPr>
            <w:tcW w:w="3819" w:type="dxa"/>
            <w:vAlign w:val="center"/>
          </w:tcPr>
          <w:p w14:paraId="4B133919" w14:textId="22595E49" w:rsidR="00886974" w:rsidRPr="0058243A" w:rsidRDefault="00886974" w:rsidP="00D87E0A">
            <w:pPr>
              <w:pStyle w:val="Response"/>
              <w:spacing w:before="0" w:after="0" w:line="240" w:lineRule="auto"/>
              <w:rPr>
                <w:sz w:val="22"/>
              </w:rPr>
            </w:pPr>
            <w:r w:rsidRPr="0058243A">
              <w:rPr>
                <w:sz w:val="22"/>
              </w:rPr>
              <w:t xml:space="preserve">Specific for </w:t>
            </w:r>
            <w:r w:rsidR="00D87E0A" w:rsidRPr="0058243A">
              <w:rPr>
                <w:sz w:val="22"/>
              </w:rPr>
              <w:t>support professionals</w:t>
            </w:r>
            <w:r w:rsidRPr="0058243A">
              <w:rPr>
                <w:sz w:val="22"/>
              </w:rPr>
              <w:t>, these sessions dive into skills and strategies for using our data to drive support for students</w:t>
            </w:r>
          </w:p>
        </w:tc>
        <w:tc>
          <w:tcPr>
            <w:tcW w:w="2444" w:type="dxa"/>
            <w:vAlign w:val="center"/>
          </w:tcPr>
          <w:p w14:paraId="3B82471A" w14:textId="386E5E3D" w:rsidR="00886974" w:rsidRPr="0058243A" w:rsidRDefault="00886974" w:rsidP="00AD36FF">
            <w:pPr>
              <w:pStyle w:val="Response"/>
              <w:spacing w:before="0" w:after="0" w:line="240" w:lineRule="auto"/>
              <w:rPr>
                <w:sz w:val="22"/>
              </w:rPr>
            </w:pPr>
            <w:r w:rsidRPr="0058243A">
              <w:rPr>
                <w:sz w:val="22"/>
              </w:rPr>
              <w:t>School psychologists</w:t>
            </w:r>
            <w:r w:rsidR="00D87E0A" w:rsidRPr="0058243A">
              <w:rPr>
                <w:sz w:val="22"/>
              </w:rPr>
              <w:t xml:space="preserve">, </w:t>
            </w:r>
            <w:r w:rsidR="003730C8">
              <w:rPr>
                <w:sz w:val="22"/>
              </w:rPr>
              <w:t>s</w:t>
            </w:r>
            <w:r w:rsidR="00D87E0A" w:rsidRPr="0058243A">
              <w:rPr>
                <w:sz w:val="22"/>
              </w:rPr>
              <w:t>ocial workers, school counselors, school nurse teachers, &amp; library media specialists</w:t>
            </w:r>
          </w:p>
        </w:tc>
        <w:tc>
          <w:tcPr>
            <w:tcW w:w="1212" w:type="dxa"/>
            <w:vAlign w:val="center"/>
          </w:tcPr>
          <w:p w14:paraId="0FEE942E" w14:textId="6CC3058E" w:rsidR="00886974" w:rsidRPr="006B7490" w:rsidRDefault="00886974" w:rsidP="00AD36FF">
            <w:pPr>
              <w:pStyle w:val="Response"/>
              <w:spacing w:before="0" w:after="0" w:line="240" w:lineRule="auto"/>
              <w:rPr>
                <w:sz w:val="22"/>
              </w:rPr>
            </w:pPr>
            <w:r w:rsidRPr="006B7490">
              <w:rPr>
                <w:sz w:val="22"/>
              </w:rPr>
              <w:t>18</w:t>
            </w:r>
          </w:p>
        </w:tc>
      </w:tr>
      <w:tr w:rsidR="00886974" w:rsidRPr="006B7490" w14:paraId="0BCD4AEA" w14:textId="77777777" w:rsidTr="006B7490">
        <w:trPr>
          <w:jc w:val="center"/>
        </w:trPr>
        <w:tc>
          <w:tcPr>
            <w:tcW w:w="1885" w:type="dxa"/>
            <w:shd w:val="clear" w:color="auto" w:fill="D5E8F7"/>
            <w:vAlign w:val="center"/>
          </w:tcPr>
          <w:p w14:paraId="750816AB" w14:textId="4D70F818" w:rsidR="00886974" w:rsidRPr="006B7490" w:rsidRDefault="00886974" w:rsidP="00AD36FF">
            <w:pPr>
              <w:pStyle w:val="Response"/>
              <w:spacing w:before="0" w:after="0" w:line="240" w:lineRule="auto"/>
              <w:rPr>
                <w:sz w:val="22"/>
              </w:rPr>
            </w:pPr>
            <w:r w:rsidRPr="006B7490">
              <w:rPr>
                <w:sz w:val="22"/>
              </w:rPr>
              <w:t>Recognizing patterns in art</w:t>
            </w:r>
            <w:r w:rsidR="001961CB">
              <w:rPr>
                <w:sz w:val="22"/>
              </w:rPr>
              <w:t>s</w:t>
            </w:r>
            <w:r w:rsidRPr="006B7490">
              <w:rPr>
                <w:sz w:val="22"/>
              </w:rPr>
              <w:t xml:space="preserve"> education</w:t>
            </w:r>
          </w:p>
        </w:tc>
        <w:tc>
          <w:tcPr>
            <w:tcW w:w="3819" w:type="dxa"/>
            <w:vAlign w:val="center"/>
          </w:tcPr>
          <w:p w14:paraId="525A8C6A" w14:textId="0873FF7A" w:rsidR="00886974" w:rsidRPr="006B7490" w:rsidRDefault="00886974" w:rsidP="00AD36FF">
            <w:pPr>
              <w:pStyle w:val="Response"/>
              <w:spacing w:before="0" w:after="0" w:line="240" w:lineRule="auto"/>
              <w:rPr>
                <w:sz w:val="22"/>
              </w:rPr>
            </w:pPr>
            <w:r w:rsidRPr="006B7490">
              <w:rPr>
                <w:sz w:val="22"/>
              </w:rPr>
              <w:t>Examining the art</w:t>
            </w:r>
            <w:r w:rsidR="001961CB">
              <w:rPr>
                <w:sz w:val="22"/>
              </w:rPr>
              <w:t>s</w:t>
            </w:r>
            <w:r w:rsidRPr="006B7490">
              <w:rPr>
                <w:sz w:val="22"/>
              </w:rPr>
              <w:t xml:space="preserve"> standards with an eye towards patterns, these sessions fit with the direction of our curriculum adoption</w:t>
            </w:r>
          </w:p>
        </w:tc>
        <w:tc>
          <w:tcPr>
            <w:tcW w:w="2444" w:type="dxa"/>
            <w:vAlign w:val="center"/>
          </w:tcPr>
          <w:p w14:paraId="76C9A6BB" w14:textId="0642379D" w:rsidR="00886974" w:rsidRPr="006B7490" w:rsidRDefault="00886974" w:rsidP="00AD36FF">
            <w:pPr>
              <w:pStyle w:val="Response"/>
              <w:spacing w:before="0" w:after="0" w:line="240" w:lineRule="auto"/>
              <w:rPr>
                <w:sz w:val="22"/>
              </w:rPr>
            </w:pPr>
            <w:r w:rsidRPr="006B7490">
              <w:rPr>
                <w:sz w:val="22"/>
              </w:rPr>
              <w:t>Art</w:t>
            </w:r>
            <w:r w:rsidR="001961CB">
              <w:rPr>
                <w:sz w:val="22"/>
              </w:rPr>
              <w:t>s</w:t>
            </w:r>
            <w:r w:rsidRPr="006B7490">
              <w:rPr>
                <w:sz w:val="22"/>
              </w:rPr>
              <w:t xml:space="preserve"> educators</w:t>
            </w:r>
          </w:p>
        </w:tc>
        <w:tc>
          <w:tcPr>
            <w:tcW w:w="1212" w:type="dxa"/>
            <w:vAlign w:val="center"/>
          </w:tcPr>
          <w:p w14:paraId="310E472D" w14:textId="669396AB" w:rsidR="00886974" w:rsidRPr="006B7490" w:rsidRDefault="00886974" w:rsidP="00AD36FF">
            <w:pPr>
              <w:pStyle w:val="Response"/>
              <w:spacing w:before="0" w:after="0" w:line="240" w:lineRule="auto"/>
              <w:rPr>
                <w:sz w:val="22"/>
              </w:rPr>
            </w:pPr>
            <w:r w:rsidRPr="006B7490">
              <w:rPr>
                <w:sz w:val="22"/>
              </w:rPr>
              <w:t>18</w:t>
            </w:r>
          </w:p>
        </w:tc>
      </w:tr>
    </w:tbl>
    <w:p w14:paraId="469D7C2C" w14:textId="0E52C8BF" w:rsidR="00FE42BC" w:rsidRPr="0058243A" w:rsidRDefault="00A95AD4" w:rsidP="0058243A">
      <w:pPr>
        <w:pStyle w:val="RIDEH3"/>
      </w:pPr>
      <w:bookmarkStart w:id="32" w:name="_Toc7783261"/>
      <w:bookmarkStart w:id="33" w:name="_Toc11135868"/>
      <w:r w:rsidRPr="0058243A">
        <w:t>Process</w:t>
      </w:r>
      <w:bookmarkEnd w:id="32"/>
      <w:bookmarkEnd w:id="33"/>
    </w:p>
    <w:p w14:paraId="02B7F02F" w14:textId="7D49BE40" w:rsidR="00917F4D" w:rsidRDefault="00FE42BC" w:rsidP="005E7883">
      <w:r>
        <w:t>How will you approve district-approved activities?</w:t>
      </w:r>
    </w:p>
    <w:p w14:paraId="659EB542" w14:textId="52DDC48C" w:rsidR="00FE42BC" w:rsidRPr="0025052D" w:rsidRDefault="00015BC0" w:rsidP="0025052D">
      <w:pPr>
        <w:pStyle w:val="Response"/>
      </w:pPr>
      <w:r w:rsidRPr="00A460F6">
        <w:lastRenderedPageBreak/>
        <w:t xml:space="preserve">Educators </w:t>
      </w:r>
      <w:r>
        <w:t xml:space="preserve">must </w:t>
      </w:r>
      <w:r w:rsidRPr="00A460F6">
        <w:t>submit documentation of potential district-approved activities through our district portal</w:t>
      </w:r>
      <w:r>
        <w:t xml:space="preserve"> </w:t>
      </w:r>
      <w:r w:rsidRPr="000E21B0">
        <w:rPr>
          <w:i/>
        </w:rPr>
        <w:t>before</w:t>
      </w:r>
      <w:r>
        <w:t xml:space="preserve"> attending the professional learning activity to ensure the PLU meets the district’s criteria.</w:t>
      </w:r>
      <w:r w:rsidRPr="00A460F6">
        <w:t xml:space="preserve"> </w:t>
      </w:r>
      <w:r>
        <w:t>I</w:t>
      </w:r>
      <w:r w:rsidRPr="00A460F6">
        <w:t>n submitting, both the educator and supervisor agree three criteria are met</w:t>
      </w:r>
      <w:r w:rsidR="00FE42BC" w:rsidRPr="0025052D">
        <w:t xml:space="preserve">: </w:t>
      </w:r>
    </w:p>
    <w:p w14:paraId="149C9320" w14:textId="279AA4A1" w:rsidR="00FE42BC" w:rsidRPr="0025052D" w:rsidRDefault="00FE42BC" w:rsidP="005A33C4">
      <w:pPr>
        <w:pStyle w:val="Response"/>
        <w:numPr>
          <w:ilvl w:val="0"/>
          <w:numId w:val="7"/>
        </w:numPr>
        <w:spacing w:before="120"/>
      </w:pPr>
      <w:r w:rsidRPr="0025052D">
        <w:t>The educator and/or supervisor agree it advances an aspect of the educator’s practice</w:t>
      </w:r>
      <w:r w:rsidR="00015BC0">
        <w:t>.</w:t>
      </w:r>
    </w:p>
    <w:p w14:paraId="55C4E68D" w14:textId="786979B5" w:rsidR="00FE42BC" w:rsidRPr="0025052D" w:rsidRDefault="00FE42BC" w:rsidP="005A33C4">
      <w:pPr>
        <w:pStyle w:val="Response"/>
        <w:numPr>
          <w:ilvl w:val="0"/>
          <w:numId w:val="7"/>
        </w:numPr>
        <w:spacing w:before="120"/>
      </w:pPr>
      <w:r w:rsidRPr="0025052D">
        <w:t>The activity aligns to one or more elements in the educator’s evaluation system</w:t>
      </w:r>
      <w:r w:rsidR="00015BC0">
        <w:t>.</w:t>
      </w:r>
      <w:r w:rsidRPr="0025052D">
        <w:t xml:space="preserve"> </w:t>
      </w:r>
    </w:p>
    <w:p w14:paraId="6A94BC35" w14:textId="77777777" w:rsidR="00015BC0" w:rsidRPr="00A460F6" w:rsidRDefault="00015BC0" w:rsidP="00015BC0">
      <w:pPr>
        <w:pStyle w:val="ListParagraph"/>
        <w:numPr>
          <w:ilvl w:val="0"/>
          <w:numId w:val="7"/>
        </w:numPr>
        <w:spacing w:before="60" w:after="0"/>
        <w:contextualSpacing w:val="0"/>
        <w:jc w:val="both"/>
        <w:rPr>
          <w:color w:val="4F81BD" w:themeColor="accent1"/>
        </w:rPr>
      </w:pPr>
      <w:r w:rsidRPr="00A460F6">
        <w:rPr>
          <w:color w:val="4F81BD" w:themeColor="accent1"/>
        </w:rPr>
        <w:t>Verification of the educator’s participation is available</w:t>
      </w:r>
      <w:r>
        <w:rPr>
          <w:color w:val="4F81BD" w:themeColor="accent1"/>
        </w:rPr>
        <w:t>, such as an agenda, work sample(s), and/or syllabus.</w:t>
      </w:r>
      <w:r w:rsidRPr="00A460F6">
        <w:rPr>
          <w:color w:val="4F81BD" w:themeColor="accent1"/>
        </w:rPr>
        <w:t xml:space="preserve"> </w:t>
      </w:r>
    </w:p>
    <w:p w14:paraId="11149B0F" w14:textId="3CE9BB1D" w:rsidR="00FE42BC" w:rsidRPr="0025052D" w:rsidRDefault="00FE42BC" w:rsidP="0025052D">
      <w:pPr>
        <w:pStyle w:val="Response"/>
      </w:pPr>
      <w:r w:rsidRPr="0025052D">
        <w:t>Keep in mind that educators can receive Professional Learning Units beyond local offerings, such as college coursework or other professional learning regionally or nationally that meet Professional Learning Unit requirements. Moshassuck reviews about a 10 percent sample of the submitted documentation for completeness.</w:t>
      </w:r>
    </w:p>
    <w:p w14:paraId="6D62C6C4" w14:textId="08C27B21" w:rsidR="00FE42BC" w:rsidRDefault="00FE42BC" w:rsidP="0025052D">
      <w:r>
        <w:t>Indicate your process steps here for district-approved activities:</w:t>
      </w:r>
    </w:p>
    <w:p w14:paraId="01703B34" w14:textId="5FECC5F0" w:rsidR="00FE42BC" w:rsidRPr="0025052D" w:rsidRDefault="00FE42BC" w:rsidP="005A33C4">
      <w:pPr>
        <w:pStyle w:val="Response"/>
        <w:numPr>
          <w:ilvl w:val="0"/>
          <w:numId w:val="8"/>
        </w:numPr>
        <w:spacing w:before="120"/>
      </w:pPr>
      <w:r w:rsidRPr="0025052D">
        <w:t>Educator collects documentation.</w:t>
      </w:r>
    </w:p>
    <w:p w14:paraId="499BDFE1" w14:textId="49E09AB1" w:rsidR="00FE42BC" w:rsidRPr="0025052D" w:rsidRDefault="00FE42BC" w:rsidP="005A33C4">
      <w:pPr>
        <w:pStyle w:val="Response"/>
        <w:numPr>
          <w:ilvl w:val="0"/>
          <w:numId w:val="8"/>
        </w:numPr>
        <w:spacing w:before="120"/>
      </w:pPr>
      <w:r w:rsidRPr="0025052D">
        <w:t>Educator submits documentation through</w:t>
      </w:r>
      <w:r w:rsidR="003616CC">
        <w:t xml:space="preserve"> district-created</w:t>
      </w:r>
      <w:r w:rsidRPr="0025052D">
        <w:t xml:space="preserve"> PLP Sample Online Portal®.</w:t>
      </w:r>
    </w:p>
    <w:p w14:paraId="7BE89819" w14:textId="66F2016D" w:rsidR="00FE42BC" w:rsidRPr="0025052D" w:rsidRDefault="00FE42BC" w:rsidP="005A33C4">
      <w:pPr>
        <w:pStyle w:val="Response"/>
        <w:numPr>
          <w:ilvl w:val="0"/>
          <w:numId w:val="8"/>
        </w:numPr>
        <w:spacing w:before="120"/>
      </w:pPr>
      <w:r w:rsidRPr="0025052D">
        <w:t>Educator’s evaluator reviews then confirms criteria are met.</w:t>
      </w:r>
    </w:p>
    <w:p w14:paraId="13DA2DD5" w14:textId="0DA58FFF" w:rsidR="00FE42BC" w:rsidRPr="0025052D" w:rsidRDefault="00FE42BC" w:rsidP="005A33C4">
      <w:pPr>
        <w:pStyle w:val="Response"/>
        <w:numPr>
          <w:ilvl w:val="0"/>
          <w:numId w:val="8"/>
        </w:numPr>
        <w:spacing w:before="120"/>
      </w:pPr>
      <w:r w:rsidRPr="0025052D">
        <w:t>LEA maintains documentation, auditing a sample for completeness, rendering approval unless an issue is flagged.</w:t>
      </w:r>
    </w:p>
    <w:p w14:paraId="6040325D" w14:textId="22CEE714" w:rsidR="00FE42BC" w:rsidRDefault="00FE42BC" w:rsidP="00460F20">
      <w:pPr>
        <w:jc w:val="both"/>
      </w:pPr>
      <w:r>
        <w:t xml:space="preserve">Consider how disputes will be decided. Should a disagreement occur, consider whether existing dispute resolution processes will be equipped to handle additional instances and whether the format will apply to the types of disputes that may </w:t>
      </w:r>
      <w:proofErr w:type="gramStart"/>
      <w:r>
        <w:t>emerge.</w:t>
      </w:r>
      <w:proofErr w:type="gramEnd"/>
      <w:r>
        <w:t xml:space="preserve"> If nothing appropriate exists, consider adding a dispute resolution process </w:t>
      </w:r>
      <w:r w:rsidRPr="00FE42BC">
        <w:rPr>
          <w:color w:val="000000" w:themeColor="text1"/>
        </w:rPr>
        <w:t>as it relates to the approval process for PLUs</w:t>
      </w:r>
      <w:r>
        <w:t>.</w:t>
      </w:r>
    </w:p>
    <w:p w14:paraId="152CAF0B" w14:textId="31262F6C" w:rsidR="00FE42BC" w:rsidRPr="0025052D" w:rsidRDefault="00FE42BC" w:rsidP="0025052D">
      <w:pPr>
        <w:pStyle w:val="Response"/>
      </w:pPr>
      <w:r w:rsidRPr="0025052D">
        <w:t>Disputes are resolved through our regular processes for dispute resolution.</w:t>
      </w:r>
    </w:p>
    <w:p w14:paraId="24A86680" w14:textId="6821F882" w:rsidR="00FE42BC" w:rsidRPr="0058243A" w:rsidRDefault="00FE42BC" w:rsidP="00AD36FF">
      <w:pPr>
        <w:pStyle w:val="RIDEH2"/>
        <w:spacing w:before="360"/>
        <w:rPr>
          <w:color w:val="1F497D" w:themeColor="text2"/>
        </w:rPr>
      </w:pPr>
      <w:bookmarkStart w:id="34" w:name="_Toc7783262"/>
      <w:bookmarkStart w:id="35" w:name="_Toc11135869"/>
      <w:r w:rsidRPr="0058243A">
        <w:rPr>
          <w:color w:val="1F497D" w:themeColor="text2"/>
        </w:rPr>
        <w:t>Section E: Differentiation</w:t>
      </w:r>
      <w:bookmarkEnd w:id="34"/>
      <w:bookmarkEnd w:id="35"/>
    </w:p>
    <w:p w14:paraId="476A2C84" w14:textId="30BE5672" w:rsidR="00FE42BC" w:rsidRDefault="00FE42BC" w:rsidP="00460F20">
      <w:pPr>
        <w:jc w:val="both"/>
      </w:pPr>
      <w:r>
        <w:t>How will you align and differentiate opportunities for different certif</w:t>
      </w:r>
      <w:r w:rsidR="00015BC0">
        <w:t>icate</w:t>
      </w:r>
      <w:r>
        <w:t xml:space="preserve"> areas</w:t>
      </w:r>
      <w:r w:rsidR="00015BC0">
        <w:t xml:space="preserve"> for teachers</w:t>
      </w:r>
      <w:r>
        <w:t xml:space="preserve">, administrators, and support professionals? </w:t>
      </w:r>
      <w:r w:rsidRPr="00FE42BC">
        <w:rPr>
          <w:rFonts w:cstheme="minorHAnsi"/>
          <w:szCs w:val="24"/>
        </w:rPr>
        <w:t>(Part</w:t>
      </w:r>
      <w:r w:rsidR="005A33C4">
        <w:rPr>
          <w:rFonts w:cstheme="minorHAnsi"/>
          <w:szCs w:val="24"/>
        </w:rPr>
        <w:t xml:space="preserve"> of addressing this question</w:t>
      </w:r>
      <w:r w:rsidRPr="00FE42BC">
        <w:rPr>
          <w:rFonts w:cstheme="minorHAnsi"/>
          <w:szCs w:val="24"/>
        </w:rPr>
        <w:t xml:space="preserve"> involve</w:t>
      </w:r>
      <w:r w:rsidR="005A33C4">
        <w:rPr>
          <w:rFonts w:cstheme="minorHAnsi"/>
          <w:szCs w:val="24"/>
        </w:rPr>
        <w:t>s the</w:t>
      </w:r>
      <w:r w:rsidRPr="00FE42BC">
        <w:rPr>
          <w:rFonts w:cstheme="minorHAnsi"/>
          <w:szCs w:val="24"/>
        </w:rPr>
        <w:t xml:space="preserve"> use of the third column in the above district-offered activities chart</w:t>
      </w:r>
      <w:r w:rsidR="0025052D">
        <w:rPr>
          <w:rFonts w:cstheme="minorHAnsi"/>
          <w:szCs w:val="24"/>
        </w:rPr>
        <w:t>.</w:t>
      </w:r>
      <w:r>
        <w:t>)</w:t>
      </w:r>
    </w:p>
    <w:p w14:paraId="1880C7C8" w14:textId="4B962F42" w:rsidR="00E443D7" w:rsidRPr="00177CC9" w:rsidRDefault="00FE42BC" w:rsidP="00AD36FF">
      <w:pPr>
        <w:pStyle w:val="Response"/>
        <w:rPr>
          <w:rFonts w:ascii="Calibri Light" w:hAnsi="Calibri Light"/>
          <w:b/>
          <w:color w:val="1C5F8A"/>
          <w:sz w:val="40"/>
        </w:rPr>
      </w:pPr>
      <w:r w:rsidRPr="0025052D">
        <w:t>We have invested time and focus on site administrators, given staff feedback and the key role they have in developing educators professionally. We have established</w:t>
      </w:r>
      <w:r w:rsidR="003616CC">
        <w:t xml:space="preserve"> instruction-focused</w:t>
      </w:r>
      <w:r w:rsidRPr="0025052D">
        <w:t xml:space="preserve"> job-alike meetings across sites to enable those educators whose assignment is unique to their school site and other specialists to collaborate across sites on common topics that directly impact students, while they also participate in on-site activities. </w:t>
      </w:r>
      <w:bookmarkStart w:id="36" w:name="BusinessCardFormat"/>
      <w:bookmarkStart w:id="37" w:name="DocumentsReports"/>
      <w:bookmarkEnd w:id="36"/>
      <w:bookmarkEnd w:id="37"/>
    </w:p>
    <w:sectPr w:rsidR="00E443D7" w:rsidRPr="00177CC9" w:rsidSect="0099370C">
      <w:footerReference w:type="default" r:id="rId19"/>
      <w:headerReference w:type="first" r:id="rId20"/>
      <w:footerReference w:type="first" r:id="rId21"/>
      <w:pgSz w:w="12240" w:h="15840"/>
      <w:pgMar w:top="1440" w:right="1440" w:bottom="144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1187F" w14:textId="77777777" w:rsidR="001313F8" w:rsidRDefault="001313F8" w:rsidP="005E75B7">
      <w:pPr>
        <w:spacing w:line="240" w:lineRule="auto"/>
      </w:pPr>
      <w:r>
        <w:separator/>
      </w:r>
    </w:p>
  </w:endnote>
  <w:endnote w:type="continuationSeparator" w:id="0">
    <w:p w14:paraId="172DFDA0" w14:textId="77777777" w:rsidR="001313F8" w:rsidRDefault="001313F8" w:rsidP="005E7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A130" w14:textId="77777777" w:rsidR="00995093" w:rsidRDefault="009950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4334" w14:textId="0219D143" w:rsidR="00EB7C77" w:rsidRPr="00EB7C77" w:rsidRDefault="00EB7C77">
    <w:pPr>
      <w:pStyle w:val="Footer"/>
      <w:rPr>
        <w:color w:val="FFFFFF" w:themeColor="background1"/>
      </w:rPr>
    </w:pPr>
    <w:r>
      <w:rPr>
        <w:i/>
        <w:sz w:val="18"/>
      </w:rPr>
      <w:tab/>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sidR="00BA6C19">
      <w:rPr>
        <w:noProof/>
        <w:color w:val="FFFFFF" w:themeColor="background1"/>
        <w:sz w:val="20"/>
      </w:rPr>
      <w:t>i</w:t>
    </w:r>
    <w:r w:rsidRPr="0030457D">
      <w:rPr>
        <w:noProof/>
        <w:color w:val="FFFFFF" w:themeColor="background1"/>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E8D9" w14:textId="77777777" w:rsidR="00995093" w:rsidRDefault="0099509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E10A" w14:textId="097C804B" w:rsidR="00EB7C77" w:rsidRDefault="00EB7C77">
    <w:pPr>
      <w:pStyle w:val="Footer"/>
    </w:pPr>
    <w:r>
      <w:rPr>
        <w:i/>
        <w:sz w:val="18"/>
      </w:rPr>
      <w:tab/>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Pr>
        <w:noProof/>
        <w:color w:val="FFFFFF" w:themeColor="background1"/>
        <w:sz w:val="20"/>
      </w:rPr>
      <w:t>i</w:t>
    </w:r>
    <w:r w:rsidRPr="0030457D">
      <w:rPr>
        <w:noProof/>
        <w:color w:val="FFFFFF" w:themeColor="background1"/>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10708"/>
      <w:docPartObj>
        <w:docPartGallery w:val="Page Numbers (Bottom of Page)"/>
        <w:docPartUnique/>
      </w:docPartObj>
    </w:sdtPr>
    <w:sdtEndPr>
      <w:rPr>
        <w:noProof/>
        <w:color w:val="FFFFFF" w:themeColor="background1"/>
      </w:rPr>
    </w:sdtEndPr>
    <w:sdtContent>
      <w:p w14:paraId="31DAEC17" w14:textId="1F021252" w:rsidR="0099370C" w:rsidRPr="0030457D" w:rsidRDefault="0099370C" w:rsidP="0030457D">
        <w:pPr>
          <w:pStyle w:val="Footer"/>
          <w:rPr>
            <w:color w:val="FFFFFF" w:themeColor="background1"/>
          </w:rPr>
        </w:pPr>
        <w:r>
          <w:tab/>
        </w:r>
        <w:r>
          <w:tab/>
        </w:r>
        <w:r>
          <w:tab/>
        </w:r>
        <w:r>
          <w:rPr>
            <w:i/>
            <w:sz w:val="18"/>
          </w:rPr>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sidR="00BA6C19">
          <w:rPr>
            <w:noProof/>
            <w:color w:val="FFFFFF" w:themeColor="background1"/>
            <w:sz w:val="20"/>
          </w:rPr>
          <w:t>7</w:t>
        </w:r>
        <w:r w:rsidRPr="0030457D">
          <w:rPr>
            <w:noProof/>
            <w:color w:val="FFFFFF" w:themeColor="background1"/>
            <w:sz w:val="20"/>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199144"/>
      <w:docPartObj>
        <w:docPartGallery w:val="Page Numbers (Bottom of Page)"/>
        <w:docPartUnique/>
      </w:docPartObj>
    </w:sdtPr>
    <w:sdtEndPr>
      <w:rPr>
        <w:noProof/>
        <w:color w:val="FFFFFF" w:themeColor="background1"/>
      </w:rPr>
    </w:sdtEndPr>
    <w:sdtContent>
      <w:p w14:paraId="37420D3B" w14:textId="32918D65" w:rsidR="0009238B" w:rsidRPr="0009238B" w:rsidRDefault="0009238B">
        <w:pPr>
          <w:pStyle w:val="Footer"/>
          <w:rPr>
            <w:color w:val="FFFFFF" w:themeColor="background1"/>
          </w:rPr>
        </w:pPr>
        <w:r>
          <w:tab/>
        </w:r>
        <w:r>
          <w:tab/>
        </w:r>
        <w:r>
          <w:tab/>
        </w:r>
        <w:r>
          <w:tab/>
        </w:r>
        <w:r>
          <w:tab/>
        </w:r>
        <w:r>
          <w:rPr>
            <w:i/>
            <w:sz w:val="18"/>
          </w:rPr>
          <w:t xml:space="preserve">District </w:t>
        </w:r>
        <w:r w:rsidRPr="0030457D">
          <w:rPr>
            <w:i/>
            <w:sz w:val="18"/>
          </w:rPr>
          <w:t>Professional Learning Plan</w:t>
        </w:r>
        <w:r>
          <w:rPr>
            <w:i/>
            <w:sz w:val="18"/>
          </w:rPr>
          <w:tab/>
        </w:r>
        <w:r w:rsidRPr="0030457D">
          <w:rPr>
            <w:color w:val="FFFFFF" w:themeColor="background1"/>
            <w:sz w:val="20"/>
          </w:rPr>
          <w:fldChar w:fldCharType="begin"/>
        </w:r>
        <w:r w:rsidRPr="0030457D">
          <w:rPr>
            <w:color w:val="FFFFFF" w:themeColor="background1"/>
            <w:sz w:val="20"/>
          </w:rPr>
          <w:instrText xml:space="preserve"> PAGE   \* MERGEFORMAT </w:instrText>
        </w:r>
        <w:r w:rsidRPr="0030457D">
          <w:rPr>
            <w:color w:val="FFFFFF" w:themeColor="background1"/>
            <w:sz w:val="20"/>
          </w:rPr>
          <w:fldChar w:fldCharType="separate"/>
        </w:r>
        <w:r w:rsidR="0099370C">
          <w:rPr>
            <w:noProof/>
            <w:color w:val="FFFFFF" w:themeColor="background1"/>
            <w:sz w:val="20"/>
          </w:rPr>
          <w:t>1</w:t>
        </w:r>
        <w:r w:rsidRPr="0030457D">
          <w:rPr>
            <w:noProof/>
            <w:color w:val="FFFFFF" w:themeColor="background1"/>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5D39" w14:textId="77777777" w:rsidR="001313F8" w:rsidRDefault="001313F8" w:rsidP="005E75B7">
      <w:pPr>
        <w:spacing w:line="240" w:lineRule="auto"/>
      </w:pPr>
      <w:r>
        <w:separator/>
      </w:r>
    </w:p>
  </w:footnote>
  <w:footnote w:type="continuationSeparator" w:id="0">
    <w:p w14:paraId="463DAB47" w14:textId="77777777" w:rsidR="001313F8" w:rsidRDefault="001313F8" w:rsidP="005E7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5FC2" w14:textId="77777777" w:rsidR="00995093" w:rsidRDefault="009950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1109" w14:textId="28D20701" w:rsidR="003E2F22" w:rsidRDefault="00630ACD">
    <w:pPr>
      <w:pStyle w:val="Header"/>
    </w:pPr>
    <w:r>
      <w:rPr>
        <w:noProof/>
      </w:rPr>
      <w:drawing>
        <wp:anchor distT="0" distB="0" distL="114300" distR="114300" simplePos="0" relativeHeight="251657216" behindDoc="1" locked="0" layoutInCell="1" allowOverlap="1" wp14:anchorId="658912B2" wp14:editId="06278A4E">
          <wp:simplePos x="0" y="0"/>
          <wp:positionH relativeFrom="column">
            <wp:posOffset>-914400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5528" w14:textId="6EE8A292" w:rsidR="003E2F22" w:rsidRDefault="00BA6C19" w:rsidP="003E2F22">
    <w:pPr>
      <w:pStyle w:val="Header"/>
    </w:pPr>
    <w:sdt>
      <w:sdtPr>
        <w:id w:val="170925824"/>
        <w:docPartObj>
          <w:docPartGallery w:val="Watermarks"/>
          <w:docPartUnique/>
        </w:docPartObj>
      </w:sdtPr>
      <w:sdtEndPr/>
      <w:sdtContent>
        <w:r>
          <w:rPr>
            <w:noProof/>
          </w:rPr>
          <w:pict w14:anchorId="7DC3E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86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2F22">
      <w:rPr>
        <w:noProof/>
      </w:rPr>
      <w:drawing>
        <wp:anchor distT="0" distB="0" distL="114300" distR="114300" simplePos="0" relativeHeight="251656192" behindDoc="1" locked="0" layoutInCell="1" allowOverlap="1" wp14:anchorId="7D1B50EC" wp14:editId="39DE424C">
          <wp:simplePos x="0" y="0"/>
          <wp:positionH relativeFrom="column">
            <wp:posOffset>-904875</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Branding-portrait_blue-band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EB" w14:textId="0BCCE282" w:rsidR="00417CC3" w:rsidRDefault="00417CC3" w:rsidP="003E2F22">
    <w:pPr>
      <w:pStyle w:val="Header"/>
    </w:pPr>
    <w:r>
      <w:rPr>
        <w:noProof/>
      </w:rPr>
      <w:drawing>
        <wp:anchor distT="0" distB="0" distL="114300" distR="114300" simplePos="0" relativeHeight="251658240" behindDoc="1" locked="0" layoutInCell="1" allowOverlap="1" wp14:anchorId="4E1A433B" wp14:editId="49CE0430">
          <wp:simplePos x="0" y="0"/>
          <wp:positionH relativeFrom="column">
            <wp:posOffset>-923925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F7B"/>
    <w:multiLevelType w:val="hybridMultilevel"/>
    <w:tmpl w:val="F27AE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50DE2"/>
    <w:multiLevelType w:val="hybridMultilevel"/>
    <w:tmpl w:val="A8A2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D1A2D"/>
    <w:multiLevelType w:val="hybridMultilevel"/>
    <w:tmpl w:val="EDE6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46BE3"/>
    <w:multiLevelType w:val="hybridMultilevel"/>
    <w:tmpl w:val="4016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4D3F"/>
    <w:multiLevelType w:val="hybridMultilevel"/>
    <w:tmpl w:val="4EAE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513CC"/>
    <w:multiLevelType w:val="hybridMultilevel"/>
    <w:tmpl w:val="6D8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D3B74"/>
    <w:multiLevelType w:val="hybridMultilevel"/>
    <w:tmpl w:val="25F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44DDA"/>
    <w:multiLevelType w:val="hybridMultilevel"/>
    <w:tmpl w:val="CE34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2277A"/>
    <w:multiLevelType w:val="hybridMultilevel"/>
    <w:tmpl w:val="5A5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848C1"/>
    <w:multiLevelType w:val="hybridMultilevel"/>
    <w:tmpl w:val="3EE8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2592"/>
    <w:multiLevelType w:val="hybridMultilevel"/>
    <w:tmpl w:val="38C6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D76FDD"/>
    <w:multiLevelType w:val="hybridMultilevel"/>
    <w:tmpl w:val="8E48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4"/>
  </w:num>
  <w:num w:numId="6">
    <w:abstractNumId w:val="1"/>
  </w:num>
  <w:num w:numId="7">
    <w:abstractNumId w:val="7"/>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5912"/>
    <w:rsid w:val="00011027"/>
    <w:rsid w:val="00012026"/>
    <w:rsid w:val="00015252"/>
    <w:rsid w:val="00015BC0"/>
    <w:rsid w:val="000169EA"/>
    <w:rsid w:val="0003301F"/>
    <w:rsid w:val="00042487"/>
    <w:rsid w:val="00061784"/>
    <w:rsid w:val="000700FA"/>
    <w:rsid w:val="00075536"/>
    <w:rsid w:val="000779AA"/>
    <w:rsid w:val="0009238B"/>
    <w:rsid w:val="000A70AF"/>
    <w:rsid w:val="000B1CB4"/>
    <w:rsid w:val="000C21A7"/>
    <w:rsid w:val="000D7A4A"/>
    <w:rsid w:val="0010547C"/>
    <w:rsid w:val="0011445B"/>
    <w:rsid w:val="001313F8"/>
    <w:rsid w:val="0017736A"/>
    <w:rsid w:val="00177CC9"/>
    <w:rsid w:val="001949F4"/>
    <w:rsid w:val="00195C61"/>
    <w:rsid w:val="001961CB"/>
    <w:rsid w:val="001970E0"/>
    <w:rsid w:val="001A3109"/>
    <w:rsid w:val="001C75D1"/>
    <w:rsid w:val="001D3E06"/>
    <w:rsid w:val="001E3BA4"/>
    <w:rsid w:val="001F0DE7"/>
    <w:rsid w:val="001F2ED2"/>
    <w:rsid w:val="002155CC"/>
    <w:rsid w:val="00215E2E"/>
    <w:rsid w:val="00227736"/>
    <w:rsid w:val="0023724A"/>
    <w:rsid w:val="0025052D"/>
    <w:rsid w:val="002629D4"/>
    <w:rsid w:val="00266C3D"/>
    <w:rsid w:val="002724BC"/>
    <w:rsid w:val="00275B41"/>
    <w:rsid w:val="002768B1"/>
    <w:rsid w:val="002770E7"/>
    <w:rsid w:val="002829E4"/>
    <w:rsid w:val="00296BD2"/>
    <w:rsid w:val="002A22C9"/>
    <w:rsid w:val="002B0F07"/>
    <w:rsid w:val="002C1F0C"/>
    <w:rsid w:val="002C723C"/>
    <w:rsid w:val="002D1307"/>
    <w:rsid w:val="002F3005"/>
    <w:rsid w:val="002F3579"/>
    <w:rsid w:val="0030457D"/>
    <w:rsid w:val="00310AF5"/>
    <w:rsid w:val="003141C4"/>
    <w:rsid w:val="003142D8"/>
    <w:rsid w:val="003172D1"/>
    <w:rsid w:val="00330E35"/>
    <w:rsid w:val="003547C6"/>
    <w:rsid w:val="003610FF"/>
    <w:rsid w:val="003616CC"/>
    <w:rsid w:val="00363DA9"/>
    <w:rsid w:val="003730C8"/>
    <w:rsid w:val="00383355"/>
    <w:rsid w:val="003972D7"/>
    <w:rsid w:val="003A0CAE"/>
    <w:rsid w:val="003C13C8"/>
    <w:rsid w:val="003C4C1F"/>
    <w:rsid w:val="003D708A"/>
    <w:rsid w:val="003E2F22"/>
    <w:rsid w:val="00404FFE"/>
    <w:rsid w:val="00406CFA"/>
    <w:rsid w:val="004121F4"/>
    <w:rsid w:val="004127D7"/>
    <w:rsid w:val="00414699"/>
    <w:rsid w:val="00416127"/>
    <w:rsid w:val="00417CC3"/>
    <w:rsid w:val="0042775E"/>
    <w:rsid w:val="004325BC"/>
    <w:rsid w:val="00433C84"/>
    <w:rsid w:val="00444E5D"/>
    <w:rsid w:val="00452B62"/>
    <w:rsid w:val="00460F20"/>
    <w:rsid w:val="00462C22"/>
    <w:rsid w:val="00463B42"/>
    <w:rsid w:val="004A08E3"/>
    <w:rsid w:val="004A3BB6"/>
    <w:rsid w:val="004A6E80"/>
    <w:rsid w:val="004A73C1"/>
    <w:rsid w:val="004B2324"/>
    <w:rsid w:val="004B55F5"/>
    <w:rsid w:val="004C089B"/>
    <w:rsid w:val="004C3485"/>
    <w:rsid w:val="004C6C1F"/>
    <w:rsid w:val="004D1A35"/>
    <w:rsid w:val="004D21DB"/>
    <w:rsid w:val="004F4481"/>
    <w:rsid w:val="004F587E"/>
    <w:rsid w:val="0050233F"/>
    <w:rsid w:val="0050663D"/>
    <w:rsid w:val="00507D57"/>
    <w:rsid w:val="0051454D"/>
    <w:rsid w:val="00521AA5"/>
    <w:rsid w:val="00531E03"/>
    <w:rsid w:val="00535AAB"/>
    <w:rsid w:val="00544CB8"/>
    <w:rsid w:val="0055454D"/>
    <w:rsid w:val="005641C6"/>
    <w:rsid w:val="005651E7"/>
    <w:rsid w:val="00570ED0"/>
    <w:rsid w:val="00577CE6"/>
    <w:rsid w:val="00580FC2"/>
    <w:rsid w:val="0058243A"/>
    <w:rsid w:val="00583F75"/>
    <w:rsid w:val="00585321"/>
    <w:rsid w:val="00595C19"/>
    <w:rsid w:val="005A33C4"/>
    <w:rsid w:val="005B0E98"/>
    <w:rsid w:val="005B12EE"/>
    <w:rsid w:val="005B1C04"/>
    <w:rsid w:val="005C2EC5"/>
    <w:rsid w:val="005C43D5"/>
    <w:rsid w:val="005E0FB3"/>
    <w:rsid w:val="005E5196"/>
    <w:rsid w:val="005E75B7"/>
    <w:rsid w:val="005E7883"/>
    <w:rsid w:val="005F31C6"/>
    <w:rsid w:val="005F38EB"/>
    <w:rsid w:val="005F5E0C"/>
    <w:rsid w:val="00601424"/>
    <w:rsid w:val="00613710"/>
    <w:rsid w:val="00624697"/>
    <w:rsid w:val="0062771A"/>
    <w:rsid w:val="00627AED"/>
    <w:rsid w:val="00630ACD"/>
    <w:rsid w:val="00635B45"/>
    <w:rsid w:val="00641E57"/>
    <w:rsid w:val="006442E8"/>
    <w:rsid w:val="006472AF"/>
    <w:rsid w:val="00652167"/>
    <w:rsid w:val="00664E36"/>
    <w:rsid w:val="00672D33"/>
    <w:rsid w:val="006777AB"/>
    <w:rsid w:val="006874A5"/>
    <w:rsid w:val="00690909"/>
    <w:rsid w:val="006947B8"/>
    <w:rsid w:val="006A0E34"/>
    <w:rsid w:val="006A1C39"/>
    <w:rsid w:val="006A7870"/>
    <w:rsid w:val="006B00D7"/>
    <w:rsid w:val="006B5EF1"/>
    <w:rsid w:val="006B7490"/>
    <w:rsid w:val="006C0798"/>
    <w:rsid w:val="006C2DF3"/>
    <w:rsid w:val="006D048B"/>
    <w:rsid w:val="006D25DE"/>
    <w:rsid w:val="006D47A7"/>
    <w:rsid w:val="006E0D1E"/>
    <w:rsid w:val="006E13A7"/>
    <w:rsid w:val="006E4C79"/>
    <w:rsid w:val="006E4E9A"/>
    <w:rsid w:val="006E51E5"/>
    <w:rsid w:val="006F26ED"/>
    <w:rsid w:val="006F4D59"/>
    <w:rsid w:val="006F630E"/>
    <w:rsid w:val="006F6F73"/>
    <w:rsid w:val="00706A0A"/>
    <w:rsid w:val="007071DA"/>
    <w:rsid w:val="0070725D"/>
    <w:rsid w:val="007110AF"/>
    <w:rsid w:val="0073059E"/>
    <w:rsid w:val="00740394"/>
    <w:rsid w:val="00751CBF"/>
    <w:rsid w:val="007636BA"/>
    <w:rsid w:val="00766FE7"/>
    <w:rsid w:val="00782D73"/>
    <w:rsid w:val="0078687A"/>
    <w:rsid w:val="007A3F6E"/>
    <w:rsid w:val="007A5F84"/>
    <w:rsid w:val="007C0DAC"/>
    <w:rsid w:val="007C79FB"/>
    <w:rsid w:val="007D03DB"/>
    <w:rsid w:val="007D190D"/>
    <w:rsid w:val="007E02DC"/>
    <w:rsid w:val="007E1094"/>
    <w:rsid w:val="007E27E2"/>
    <w:rsid w:val="007E2C2A"/>
    <w:rsid w:val="007E5C1C"/>
    <w:rsid w:val="007E5E39"/>
    <w:rsid w:val="007E6805"/>
    <w:rsid w:val="007F01C6"/>
    <w:rsid w:val="007F307C"/>
    <w:rsid w:val="007F6583"/>
    <w:rsid w:val="007F6705"/>
    <w:rsid w:val="008056D1"/>
    <w:rsid w:val="00821CB5"/>
    <w:rsid w:val="00822B20"/>
    <w:rsid w:val="00832851"/>
    <w:rsid w:val="00833D13"/>
    <w:rsid w:val="0085660C"/>
    <w:rsid w:val="00862CBA"/>
    <w:rsid w:val="00871801"/>
    <w:rsid w:val="0087349C"/>
    <w:rsid w:val="00881F8D"/>
    <w:rsid w:val="00884639"/>
    <w:rsid w:val="00886286"/>
    <w:rsid w:val="00886974"/>
    <w:rsid w:val="00891950"/>
    <w:rsid w:val="00894245"/>
    <w:rsid w:val="0089571B"/>
    <w:rsid w:val="008A5AE3"/>
    <w:rsid w:val="008A61D3"/>
    <w:rsid w:val="008B381B"/>
    <w:rsid w:val="008B7CFB"/>
    <w:rsid w:val="008B7E67"/>
    <w:rsid w:val="008C09FF"/>
    <w:rsid w:val="008C1236"/>
    <w:rsid w:val="008F1BFB"/>
    <w:rsid w:val="00902F30"/>
    <w:rsid w:val="00907ACD"/>
    <w:rsid w:val="00915097"/>
    <w:rsid w:val="00917F4D"/>
    <w:rsid w:val="00932A91"/>
    <w:rsid w:val="00932FB3"/>
    <w:rsid w:val="0093396E"/>
    <w:rsid w:val="00943AD5"/>
    <w:rsid w:val="00945384"/>
    <w:rsid w:val="00947F9D"/>
    <w:rsid w:val="009540E1"/>
    <w:rsid w:val="009611B2"/>
    <w:rsid w:val="0097255C"/>
    <w:rsid w:val="0098670F"/>
    <w:rsid w:val="0098737E"/>
    <w:rsid w:val="0099370C"/>
    <w:rsid w:val="00995093"/>
    <w:rsid w:val="0099791B"/>
    <w:rsid w:val="009A1C1E"/>
    <w:rsid w:val="009A2FFB"/>
    <w:rsid w:val="009B33CB"/>
    <w:rsid w:val="009B6FB9"/>
    <w:rsid w:val="009C41EF"/>
    <w:rsid w:val="009C5F26"/>
    <w:rsid w:val="009D2714"/>
    <w:rsid w:val="009D466C"/>
    <w:rsid w:val="009D779B"/>
    <w:rsid w:val="009E13D2"/>
    <w:rsid w:val="009E27BA"/>
    <w:rsid w:val="009F6775"/>
    <w:rsid w:val="00A07F1B"/>
    <w:rsid w:val="00A13DC9"/>
    <w:rsid w:val="00A16A0E"/>
    <w:rsid w:val="00A2382F"/>
    <w:rsid w:val="00A25ECD"/>
    <w:rsid w:val="00A2691C"/>
    <w:rsid w:val="00A37868"/>
    <w:rsid w:val="00A408BD"/>
    <w:rsid w:val="00A41B34"/>
    <w:rsid w:val="00A43E85"/>
    <w:rsid w:val="00A63DFB"/>
    <w:rsid w:val="00A6449B"/>
    <w:rsid w:val="00A65651"/>
    <w:rsid w:val="00A7128C"/>
    <w:rsid w:val="00A7540C"/>
    <w:rsid w:val="00A84692"/>
    <w:rsid w:val="00A92FCA"/>
    <w:rsid w:val="00A95AD4"/>
    <w:rsid w:val="00A96E45"/>
    <w:rsid w:val="00AB53A9"/>
    <w:rsid w:val="00AD36FF"/>
    <w:rsid w:val="00AD605D"/>
    <w:rsid w:val="00AE2CF3"/>
    <w:rsid w:val="00AF06B3"/>
    <w:rsid w:val="00B02665"/>
    <w:rsid w:val="00B154F1"/>
    <w:rsid w:val="00B17443"/>
    <w:rsid w:val="00B2186B"/>
    <w:rsid w:val="00B34C23"/>
    <w:rsid w:val="00B4285C"/>
    <w:rsid w:val="00B47C3E"/>
    <w:rsid w:val="00B515DE"/>
    <w:rsid w:val="00B67783"/>
    <w:rsid w:val="00B70F9B"/>
    <w:rsid w:val="00B73D17"/>
    <w:rsid w:val="00B77199"/>
    <w:rsid w:val="00B87326"/>
    <w:rsid w:val="00BA35EE"/>
    <w:rsid w:val="00BA3E63"/>
    <w:rsid w:val="00BA57D1"/>
    <w:rsid w:val="00BA6C19"/>
    <w:rsid w:val="00BB31C6"/>
    <w:rsid w:val="00BB6697"/>
    <w:rsid w:val="00BC2A67"/>
    <w:rsid w:val="00BC5DE1"/>
    <w:rsid w:val="00BE0F98"/>
    <w:rsid w:val="00BE50F1"/>
    <w:rsid w:val="00BF28ED"/>
    <w:rsid w:val="00BF2FA0"/>
    <w:rsid w:val="00BF33F5"/>
    <w:rsid w:val="00BF5426"/>
    <w:rsid w:val="00C009EE"/>
    <w:rsid w:val="00C018A4"/>
    <w:rsid w:val="00C032C4"/>
    <w:rsid w:val="00C0465E"/>
    <w:rsid w:val="00C11702"/>
    <w:rsid w:val="00C34CFC"/>
    <w:rsid w:val="00C41380"/>
    <w:rsid w:val="00C47F2D"/>
    <w:rsid w:val="00C522D9"/>
    <w:rsid w:val="00C57CD2"/>
    <w:rsid w:val="00C602B9"/>
    <w:rsid w:val="00C60A80"/>
    <w:rsid w:val="00C760AE"/>
    <w:rsid w:val="00C9037E"/>
    <w:rsid w:val="00C92AE8"/>
    <w:rsid w:val="00CB4925"/>
    <w:rsid w:val="00CB6631"/>
    <w:rsid w:val="00CC1CC1"/>
    <w:rsid w:val="00CE443F"/>
    <w:rsid w:val="00CE5773"/>
    <w:rsid w:val="00CF000A"/>
    <w:rsid w:val="00CF06E4"/>
    <w:rsid w:val="00CF2AB7"/>
    <w:rsid w:val="00CF2E3F"/>
    <w:rsid w:val="00CF2E40"/>
    <w:rsid w:val="00CF5215"/>
    <w:rsid w:val="00D00015"/>
    <w:rsid w:val="00D00EF2"/>
    <w:rsid w:val="00D02946"/>
    <w:rsid w:val="00D05F74"/>
    <w:rsid w:val="00D06418"/>
    <w:rsid w:val="00D07DD7"/>
    <w:rsid w:val="00D103B2"/>
    <w:rsid w:val="00D11664"/>
    <w:rsid w:val="00D31127"/>
    <w:rsid w:val="00D332E7"/>
    <w:rsid w:val="00D44048"/>
    <w:rsid w:val="00D4502F"/>
    <w:rsid w:val="00D478C0"/>
    <w:rsid w:val="00D54144"/>
    <w:rsid w:val="00D61305"/>
    <w:rsid w:val="00D6160B"/>
    <w:rsid w:val="00D6256B"/>
    <w:rsid w:val="00D6670B"/>
    <w:rsid w:val="00D773C6"/>
    <w:rsid w:val="00D81885"/>
    <w:rsid w:val="00D85C0B"/>
    <w:rsid w:val="00D87957"/>
    <w:rsid w:val="00D87E0A"/>
    <w:rsid w:val="00D9413A"/>
    <w:rsid w:val="00D944C1"/>
    <w:rsid w:val="00DA071B"/>
    <w:rsid w:val="00DA0EA8"/>
    <w:rsid w:val="00DA6633"/>
    <w:rsid w:val="00DB0734"/>
    <w:rsid w:val="00DF5EE3"/>
    <w:rsid w:val="00E118A6"/>
    <w:rsid w:val="00E12206"/>
    <w:rsid w:val="00E153A0"/>
    <w:rsid w:val="00E30B3C"/>
    <w:rsid w:val="00E334FA"/>
    <w:rsid w:val="00E443D7"/>
    <w:rsid w:val="00E44F16"/>
    <w:rsid w:val="00E45939"/>
    <w:rsid w:val="00E675F9"/>
    <w:rsid w:val="00E81327"/>
    <w:rsid w:val="00E83D22"/>
    <w:rsid w:val="00E84CF6"/>
    <w:rsid w:val="00EB26A8"/>
    <w:rsid w:val="00EB47AE"/>
    <w:rsid w:val="00EB5AFC"/>
    <w:rsid w:val="00EB7C77"/>
    <w:rsid w:val="00ED2F23"/>
    <w:rsid w:val="00ED2F71"/>
    <w:rsid w:val="00F0592F"/>
    <w:rsid w:val="00F11D67"/>
    <w:rsid w:val="00F15909"/>
    <w:rsid w:val="00F44E98"/>
    <w:rsid w:val="00F462CE"/>
    <w:rsid w:val="00F500AD"/>
    <w:rsid w:val="00F76E79"/>
    <w:rsid w:val="00F814A4"/>
    <w:rsid w:val="00F84308"/>
    <w:rsid w:val="00FB4C61"/>
    <w:rsid w:val="00FC7EC3"/>
    <w:rsid w:val="00FE2982"/>
    <w:rsid w:val="00FE31C0"/>
    <w:rsid w:val="00FE386F"/>
    <w:rsid w:val="00FE3F5A"/>
    <w:rsid w:val="00FE42BC"/>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A587845"/>
  <w15:docId w15:val="{E92B391C-849F-403E-BEFB-73DA056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B9"/>
    <w:pPr>
      <w:spacing w:before="240" w:after="120" w:line="252" w:lineRule="auto"/>
    </w:pPr>
    <w:rPr>
      <w:sz w:val="24"/>
    </w:rPr>
  </w:style>
  <w:style w:type="paragraph" w:styleId="Heading1">
    <w:name w:val="heading 1"/>
    <w:basedOn w:val="Normal"/>
    <w:next w:val="Normal"/>
    <w:link w:val="Heading1Char"/>
    <w:uiPriority w:val="9"/>
    <w:qFormat/>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502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AA5"/>
    <w:pPr>
      <w:ind w:left="720"/>
      <w:contextualSpacing/>
    </w:pPr>
  </w:style>
  <w:style w:type="paragraph" w:styleId="Title">
    <w:name w:val="Title"/>
    <w:basedOn w:val="Normal"/>
    <w:next w:val="Normal"/>
    <w:link w:val="TitleChar"/>
    <w:uiPriority w:val="10"/>
    <w:qFormat/>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5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58243A"/>
    <w:pPr>
      <w:spacing w:before="360" w:after="0"/>
    </w:pPr>
    <w:rPr>
      <w:i/>
      <w:color w:val="1F497D" w:themeColor="text2"/>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58243A"/>
    <w:rPr>
      <w:i/>
      <w:color w:val="1F497D" w:themeColor="text2"/>
      <w:sz w:val="32"/>
    </w:rPr>
  </w:style>
  <w:style w:type="paragraph" w:customStyle="1" w:styleId="RIDEH2">
    <w:name w:val="RIDE H2"/>
    <w:basedOn w:val="Normal"/>
    <w:link w:val="RIDEH2Char"/>
    <w:qFormat/>
    <w:rsid w:val="006D25DE"/>
    <w:pPr>
      <w:spacing w:before="600"/>
    </w:pPr>
    <w:rPr>
      <w:rFonts w:ascii="Calibri Light" w:hAnsi="Calibri Light"/>
      <w:b/>
      <w:color w:val="1C5F8A"/>
      <w:sz w:val="40"/>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qFormat/>
    <w:rsid w:val="006D25DE"/>
    <w:pPr>
      <w:spacing w:after="240"/>
    </w:pPr>
    <w:rPr>
      <w:rFonts w:ascii="Calibri Light" w:hAnsi="Calibri Light"/>
      <w:color w:val="008ABE"/>
      <w:sz w:val="56"/>
    </w:rPr>
  </w:style>
  <w:style w:type="character" w:customStyle="1" w:styleId="RIDEH2Char">
    <w:name w:val="RIDE H2 Char"/>
    <w:basedOn w:val="DefaultParagraphFont"/>
    <w:link w:val="RIDEH2"/>
    <w:rsid w:val="006D25DE"/>
    <w:rPr>
      <w:rFonts w:ascii="Calibri Light" w:hAnsi="Calibri Light"/>
      <w:b/>
      <w:color w:val="1C5F8A"/>
      <w:sz w:val="40"/>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6D25D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751CBF"/>
    <w:pPr>
      <w:jc w:val="right"/>
    </w:pPr>
    <w:rPr>
      <w:color w:val="86ABBE"/>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qFormat/>
    <w:rsid w:val="00751CBF"/>
    <w:pPr>
      <w:jc w:val="right"/>
    </w:pPr>
    <w:rPr>
      <w:sz w:val="20"/>
    </w:rPr>
  </w:style>
  <w:style w:type="character" w:customStyle="1" w:styleId="RIDESub2Char">
    <w:name w:val="RIDE Sub2 Char"/>
    <w:basedOn w:val="DefaultParagraphFont"/>
    <w:link w:val="RIDESub2"/>
    <w:rsid w:val="00751CBF"/>
    <w:rPr>
      <w:color w:val="86ABBE"/>
      <w:sz w:val="28"/>
    </w:rPr>
  </w:style>
  <w:style w:type="character" w:customStyle="1" w:styleId="RIDESub3Char">
    <w:name w:val="RIDE Sub3 Char"/>
    <w:basedOn w:val="DefaultParagraphFont"/>
    <w:link w:val="RIDESub3"/>
    <w:rsid w:val="00751CBF"/>
    <w:rPr>
      <w:sz w:val="20"/>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qFormat/>
    <w:rsid w:val="0097255C"/>
    <w:pPr>
      <w:spacing w:before="120"/>
      <w:ind w:left="720"/>
    </w:pPr>
  </w:style>
  <w:style w:type="paragraph" w:customStyle="1" w:styleId="ToCMainSection">
    <w:name w:val="ToC Main Section"/>
    <w:basedOn w:val="Normal"/>
    <w:link w:val="ToCMainSectionChar"/>
    <w:qFormat/>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qFormat/>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qFormat/>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450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502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D4502F"/>
    <w:pPr>
      <w:spacing w:after="100"/>
    </w:pPr>
  </w:style>
  <w:style w:type="paragraph" w:styleId="TOC2">
    <w:name w:val="toc 2"/>
    <w:basedOn w:val="Normal"/>
    <w:next w:val="Normal"/>
    <w:autoRedefine/>
    <w:uiPriority w:val="39"/>
    <w:unhideWhenUsed/>
    <w:rsid w:val="00A84692"/>
    <w:pPr>
      <w:tabs>
        <w:tab w:val="right" w:leader="dot" w:pos="9350"/>
      </w:tabs>
      <w:spacing w:after="100"/>
    </w:pPr>
    <w:rPr>
      <w:i/>
      <w:noProof/>
    </w:rPr>
  </w:style>
  <w:style w:type="paragraph" w:styleId="TOC3">
    <w:name w:val="toc 3"/>
    <w:basedOn w:val="Normal"/>
    <w:next w:val="Normal"/>
    <w:autoRedefine/>
    <w:uiPriority w:val="39"/>
    <w:unhideWhenUsed/>
    <w:rsid w:val="00D4502F"/>
    <w:pPr>
      <w:spacing w:after="100"/>
      <w:ind w:left="480"/>
    </w:pPr>
  </w:style>
  <w:style w:type="character" w:styleId="CommentReference">
    <w:name w:val="annotation reference"/>
    <w:basedOn w:val="DefaultParagraphFont"/>
    <w:uiPriority w:val="99"/>
    <w:semiHidden/>
    <w:unhideWhenUsed/>
    <w:rsid w:val="00C57CD2"/>
    <w:rPr>
      <w:sz w:val="16"/>
      <w:szCs w:val="16"/>
    </w:rPr>
  </w:style>
  <w:style w:type="paragraph" w:styleId="CommentText">
    <w:name w:val="annotation text"/>
    <w:basedOn w:val="Normal"/>
    <w:link w:val="CommentTextChar"/>
    <w:uiPriority w:val="99"/>
    <w:unhideWhenUsed/>
    <w:rsid w:val="00C57CD2"/>
    <w:pPr>
      <w:spacing w:before="0" w:after="160" w:line="240" w:lineRule="auto"/>
    </w:pPr>
    <w:rPr>
      <w:sz w:val="20"/>
      <w:szCs w:val="20"/>
    </w:rPr>
  </w:style>
  <w:style w:type="character" w:customStyle="1" w:styleId="CommentTextChar">
    <w:name w:val="Comment Text Char"/>
    <w:basedOn w:val="DefaultParagraphFont"/>
    <w:link w:val="CommentText"/>
    <w:uiPriority w:val="99"/>
    <w:rsid w:val="00C57CD2"/>
    <w:rPr>
      <w:sz w:val="20"/>
      <w:szCs w:val="20"/>
    </w:rPr>
  </w:style>
  <w:style w:type="paragraph" w:customStyle="1" w:styleId="Response">
    <w:name w:val="Response"/>
    <w:basedOn w:val="Normal"/>
    <w:link w:val="ResponseChar"/>
    <w:qFormat/>
    <w:rsid w:val="009A1C1E"/>
    <w:rPr>
      <w:color w:val="4F81BD" w:themeColor="accent1"/>
    </w:rPr>
  </w:style>
  <w:style w:type="character" w:customStyle="1" w:styleId="ResponseChar">
    <w:name w:val="Response Char"/>
    <w:basedOn w:val="DefaultParagraphFont"/>
    <w:link w:val="Response"/>
    <w:rsid w:val="009A1C1E"/>
    <w:rPr>
      <w:color w:val="4F81BD" w:themeColor="accent1"/>
      <w:sz w:val="24"/>
    </w:rPr>
  </w:style>
  <w:style w:type="paragraph" w:styleId="CommentSubject">
    <w:name w:val="annotation subject"/>
    <w:basedOn w:val="CommentText"/>
    <w:next w:val="CommentText"/>
    <w:link w:val="CommentSubjectChar"/>
    <w:uiPriority w:val="99"/>
    <w:semiHidden/>
    <w:unhideWhenUsed/>
    <w:rsid w:val="0089571B"/>
    <w:pPr>
      <w:spacing w:before="240" w:after="120"/>
    </w:pPr>
    <w:rPr>
      <w:b/>
      <w:bCs/>
    </w:rPr>
  </w:style>
  <w:style w:type="character" w:customStyle="1" w:styleId="CommentSubjectChar">
    <w:name w:val="Comment Subject Char"/>
    <w:basedOn w:val="CommentTextChar"/>
    <w:link w:val="CommentSubject"/>
    <w:uiPriority w:val="99"/>
    <w:semiHidden/>
    <w:rsid w:val="00895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491750490">
      <w:bodyDiv w:val="1"/>
      <w:marLeft w:val="0"/>
      <w:marRight w:val="0"/>
      <w:marTop w:val="0"/>
      <w:marBottom w:val="0"/>
      <w:divBdr>
        <w:top w:val="none" w:sz="0" w:space="0" w:color="auto"/>
        <w:left w:val="none" w:sz="0" w:space="0" w:color="auto"/>
        <w:bottom w:val="none" w:sz="0" w:space="0" w:color="auto"/>
        <w:right w:val="none" w:sz="0" w:space="0" w:color="auto"/>
      </w:divBdr>
    </w:div>
    <w:div w:id="1604722915">
      <w:bodyDiv w:val="1"/>
      <w:marLeft w:val="0"/>
      <w:marRight w:val="0"/>
      <w:marTop w:val="0"/>
      <w:marBottom w:val="0"/>
      <w:divBdr>
        <w:top w:val="none" w:sz="0" w:space="0" w:color="auto"/>
        <w:left w:val="none" w:sz="0" w:space="0" w:color="auto"/>
        <w:bottom w:val="none" w:sz="0" w:space="0" w:color="auto"/>
        <w:right w:val="none" w:sz="0" w:space="0" w:color="auto"/>
      </w:divBdr>
    </w:div>
    <w:div w:id="1917321845">
      <w:bodyDiv w:val="1"/>
      <w:marLeft w:val="0"/>
      <w:marRight w:val="0"/>
      <w:marTop w:val="0"/>
      <w:marBottom w:val="0"/>
      <w:divBdr>
        <w:top w:val="none" w:sz="0" w:space="0" w:color="auto"/>
        <w:left w:val="none" w:sz="0" w:space="0" w:color="auto"/>
        <w:bottom w:val="none" w:sz="0" w:space="0" w:color="auto"/>
        <w:right w:val="none" w:sz="0" w:space="0" w:color="auto"/>
      </w:divBdr>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lp@mps.org"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0" ma:contentTypeDescription="Create a new document." ma:contentTypeScope="" ma:versionID="a8b14cfe45d623029423601231df8bc6">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247c68c404d232a47b9f27247c1eaced"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2.xml><?xml version="1.0" encoding="utf-8"?>
<ds:datastoreItem xmlns:ds="http://schemas.openxmlformats.org/officeDocument/2006/customXml" ds:itemID="{B486E4FB-DC8C-48E2-9973-A887DAD9241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1f635c-d292-4469-a7df-b4015b1ad9f2"/>
    <ds:schemaRef ds:uri="http://purl.org/dc/elements/1.1/"/>
    <ds:schemaRef ds:uri="http://schemas.microsoft.com/office/2006/metadata/properties"/>
    <ds:schemaRef ds:uri="fb4ce569-0273-4228-9157-33b14876d013"/>
    <ds:schemaRef ds:uri="http://www.w3.org/XML/1998/namespace"/>
  </ds:schemaRefs>
</ds:datastoreItem>
</file>

<file path=customXml/itemProps3.xml><?xml version="1.0" encoding="utf-8"?>
<ds:datastoreItem xmlns:ds="http://schemas.openxmlformats.org/officeDocument/2006/customXml" ds:itemID="{F2F8333C-026C-48F5-9503-677B3618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1C666-4C82-4F2F-972D-45C33BDB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Kamlyn</dc:creator>
  <cp:lastModifiedBy>LaBounty-McNair, Steven</cp:lastModifiedBy>
  <cp:revision>21</cp:revision>
  <cp:lastPrinted>2019-05-31T12:20:00Z</cp:lastPrinted>
  <dcterms:created xsi:type="dcterms:W3CDTF">2019-05-03T20:36:00Z</dcterms:created>
  <dcterms:modified xsi:type="dcterms:W3CDTF">2019-06-11T12:57:00Z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AuthorIds_UIVersion_1024">
    <vt:lpwstr>77</vt:lpwstr>
  </property>
</Properties>
</file>