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ind w:left="-547" w:firstLine="0"/>
        <w:rPr>
          <w:sz w:val="28"/>
          <w:szCs w:val="28"/>
        </w:rPr>
      </w:pPr>
      <w:r w:rsidDel="00000000" w:rsidR="00000000" w:rsidRPr="00000000">
        <w:rPr>
          <w:rtl w:val="0"/>
        </w:rPr>
        <w:t xml:space="preserve">CULTURE OF LEARNING </w:t>
      </w:r>
      <w:r w:rsidDel="00000000" w:rsidR="00000000" w:rsidRPr="00000000">
        <w:rPr>
          <w:rFonts w:ascii="Times New Roman" w:cs="Times New Roman" w:eastAsia="Times New Roman" w:hAnsi="Times New Roman"/>
          <w:color w:val="dddddd"/>
          <w:sz w:val="36"/>
          <w:szCs w:val="36"/>
          <w:rtl w:val="0"/>
        </w:rPr>
        <w:t xml:space="preserve">|</w:t>
      </w:r>
      <w:r w:rsidDel="00000000" w:rsidR="00000000" w:rsidRPr="00000000">
        <w:rPr>
          <w:rtl w:val="0"/>
        </w:rPr>
        <w:t xml:space="preserve"> </w:t>
      </w:r>
      <w:r w:rsidDel="00000000" w:rsidR="00000000" w:rsidRPr="00000000">
        <w:rPr>
          <w:sz w:val="28"/>
          <w:szCs w:val="28"/>
          <w:rtl w:val="0"/>
        </w:rPr>
        <w:t xml:space="preserve">Are all students engaged in the work of the lesson from start to finish?</w:t>
      </w:r>
    </w:p>
    <w:p w:rsidR="00000000" w:rsidDel="00000000" w:rsidP="00000000" w:rsidRDefault="00000000" w:rsidRPr="00000000" w14:paraId="00000002">
      <w:pPr>
        <w:ind w:left="-540" w:firstLine="0"/>
        <w:rPr/>
      </w:pPr>
      <w:r w:rsidDel="00000000" w:rsidR="00000000" w:rsidRPr="00000000">
        <w:rPr>
          <w:b w:val="1"/>
          <w:i w:val="1"/>
          <w:rtl w:val="0"/>
        </w:rPr>
        <w:t xml:space="preserve">Note to observers:</w:t>
      </w:r>
      <w:r w:rsidDel="00000000" w:rsidR="00000000" w:rsidRPr="00000000">
        <w:rPr>
          <w:i w:val="1"/>
          <w:rtl w:val="0"/>
        </w:rPr>
        <w:t xml:space="preserve"> The “Engagement” descriptor includes both the level of compliant behavior as well as the level of cognitive engagement demonstrated by students when grappling with grade-level, standards-based academic work. </w:t>
      </w:r>
      <w:r w:rsidDel="00000000" w:rsidR="00000000" w:rsidRPr="00000000">
        <w:rPr>
          <w:rtl w:val="0"/>
        </w:rPr>
      </w:r>
    </w:p>
    <w:tbl>
      <w:tblPr>
        <w:tblStyle w:val="Table1"/>
        <w:tblW w:w="14850.0" w:type="dxa"/>
        <w:jc w:val="left"/>
        <w:tblInd w:w="-425.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3712"/>
        <w:gridCol w:w="3713"/>
        <w:gridCol w:w="3712"/>
        <w:gridCol w:w="3713"/>
        <w:tblGridChange w:id="0">
          <w:tblGrid>
            <w:gridCol w:w="3712"/>
            <w:gridCol w:w="3713"/>
            <w:gridCol w:w="3712"/>
            <w:gridCol w:w="3713"/>
          </w:tblGrid>
        </w:tblGridChange>
      </w:tblGrid>
      <w:tr>
        <w:trPr>
          <w:trHeight w:val="330" w:hRule="atLeast"/>
        </w:trPr>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03">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NEEDS IMPROVEMENT</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04">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APPROACHING EFFECTIVE</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05">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EFFECTIVE</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06">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HIGHLY EFFECTIVE</w:t>
            </w:r>
          </w:p>
        </w:tc>
      </w:tr>
      <w:tr>
        <w:trPr>
          <w:trHeight w:val="548" w:hRule="atLeast"/>
        </w:trPr>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7">
            <w:pPr>
              <w:rPr>
                <w:color w:val="000000"/>
                <w:sz w:val="16"/>
                <w:szCs w:val="16"/>
              </w:rPr>
            </w:pPr>
            <w:r w:rsidDel="00000000" w:rsidR="00000000" w:rsidRPr="00000000">
              <w:rPr>
                <w:b w:val="1"/>
                <w:color w:val="000000"/>
                <w:sz w:val="16"/>
                <w:szCs w:val="16"/>
                <w:rtl w:val="0"/>
              </w:rPr>
              <w:t xml:space="preserve">Engagement:</w:t>
            </w:r>
            <w:r w:rsidDel="00000000" w:rsidR="00000000" w:rsidRPr="00000000">
              <w:rPr>
                <w:color w:val="000000"/>
                <w:sz w:val="16"/>
                <w:szCs w:val="16"/>
                <w:rtl w:val="0"/>
              </w:rPr>
              <w:t xml:space="preserve"> Very few or no* students complete instructional tasks, volunteer responses and/or ask appropriate questions.</w:t>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8">
            <w:pPr>
              <w:rPr>
                <w:color w:val="000000"/>
                <w:sz w:val="16"/>
                <w:szCs w:val="16"/>
              </w:rPr>
            </w:pPr>
            <w:r w:rsidDel="00000000" w:rsidR="00000000" w:rsidRPr="00000000">
              <w:rPr>
                <w:b w:val="1"/>
                <w:color w:val="000000"/>
                <w:sz w:val="16"/>
                <w:szCs w:val="16"/>
                <w:rtl w:val="0"/>
              </w:rPr>
              <w:t xml:space="preserve">Engagement:</w:t>
            </w:r>
            <w:r w:rsidDel="00000000" w:rsidR="00000000" w:rsidRPr="00000000">
              <w:rPr>
                <w:color w:val="000000"/>
                <w:sz w:val="16"/>
                <w:szCs w:val="16"/>
                <w:rtl w:val="0"/>
              </w:rPr>
              <w:t xml:space="preserve"> Some** students complete instructional tasks, volunteer responses and/or ask appropriate questions.</w:t>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9">
            <w:pPr>
              <w:rPr>
                <w:color w:val="000000"/>
                <w:sz w:val="16"/>
                <w:szCs w:val="16"/>
                <w:highlight w:val="yellow"/>
              </w:rPr>
            </w:pPr>
            <w:r w:rsidDel="00000000" w:rsidR="00000000" w:rsidRPr="00000000">
              <w:rPr>
                <w:b w:val="1"/>
                <w:color w:val="000000"/>
                <w:sz w:val="16"/>
                <w:szCs w:val="16"/>
                <w:rtl w:val="0"/>
              </w:rPr>
              <w:t xml:space="preserve">Engagement:</w:t>
            </w:r>
            <w:r w:rsidDel="00000000" w:rsidR="00000000" w:rsidRPr="00000000">
              <w:rPr>
                <w:color w:val="000000"/>
                <w:sz w:val="16"/>
                <w:szCs w:val="16"/>
                <w:rtl w:val="0"/>
              </w:rPr>
              <w:t xml:space="preserve"> Most*** students complete instructional tasks, volunteer responses and/or ask appropriate questions.</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A">
            <w:pPr>
              <w:rPr>
                <w:color w:val="000000"/>
                <w:sz w:val="16"/>
                <w:szCs w:val="16"/>
              </w:rPr>
            </w:pPr>
            <w:r w:rsidDel="00000000" w:rsidR="00000000" w:rsidRPr="00000000">
              <w:rPr>
                <w:b w:val="1"/>
                <w:color w:val="000000"/>
                <w:sz w:val="16"/>
                <w:szCs w:val="16"/>
                <w:rtl w:val="0"/>
              </w:rPr>
              <w:t xml:space="preserve">Engagement:</w:t>
            </w:r>
            <w:r w:rsidDel="00000000" w:rsidR="00000000" w:rsidRPr="00000000">
              <w:rPr>
                <w:color w:val="000000"/>
                <w:sz w:val="16"/>
                <w:szCs w:val="16"/>
                <w:rtl w:val="0"/>
              </w:rPr>
              <w:t xml:space="preserve"> All or almost all**** students complete instructional tasks, volunteer responses and/or ask appropriate questions.</w:t>
            </w:r>
          </w:p>
        </w:tc>
      </w:tr>
      <w:tr>
        <w:trPr>
          <w:trHeight w:val="44" w:hRule="atLeast"/>
        </w:trPr>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B">
            <w:pPr>
              <w:rPr>
                <w:color w:val="000000"/>
                <w:sz w:val="16"/>
                <w:szCs w:val="16"/>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C">
            <w:pPr>
              <w:rPr>
                <w:color w:val="000000"/>
                <w:sz w:val="16"/>
                <w:szCs w:val="16"/>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D">
            <w:pPr>
              <w:rPr>
                <w:color w:val="000000"/>
                <w:sz w:val="16"/>
                <w:szCs w:val="16"/>
                <w:highlight w:val="yellow"/>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0E">
            <w:pPr>
              <w:rPr>
                <w:b w:val="1"/>
                <w:color w:val="000000"/>
                <w:sz w:val="16"/>
                <w:szCs w:val="16"/>
              </w:rPr>
            </w:pPr>
            <w:r w:rsidDel="00000000" w:rsidR="00000000" w:rsidRPr="00000000">
              <w:rPr>
                <w:rtl w:val="0"/>
              </w:rPr>
            </w:r>
          </w:p>
        </w:tc>
      </w:tr>
      <w:tr>
        <w:trPr>
          <w:trHeight w:val="24" w:hRule="atLeast"/>
        </w:trPr>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0F">
            <w:pPr>
              <w:rPr>
                <w:b w:val="1"/>
                <w:color w:val="000000"/>
                <w:sz w:val="16"/>
                <w:szCs w:val="16"/>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10">
            <w:pPr>
              <w:rPr>
                <w:color w:val="000000"/>
                <w:sz w:val="16"/>
                <w:szCs w:val="16"/>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11">
            <w:pPr>
              <w:rPr>
                <w:b w:val="1"/>
                <w:color w:val="000000"/>
                <w:sz w:val="16"/>
                <w:szCs w:val="16"/>
                <w:highlight w:val="yellow"/>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12">
            <w:pPr>
              <w:rPr>
                <w:b w:val="1"/>
                <w:color w:val="000000"/>
                <w:sz w:val="16"/>
                <w:szCs w:val="16"/>
              </w:rPr>
            </w:pPr>
            <w:r w:rsidDel="00000000" w:rsidR="00000000" w:rsidRPr="00000000">
              <w:rPr>
                <w:rtl w:val="0"/>
              </w:rPr>
            </w:r>
          </w:p>
        </w:tc>
      </w:tr>
    </w:tbl>
    <w:p w:rsidR="00000000" w:rsidDel="00000000" w:rsidP="00000000" w:rsidRDefault="00000000" w:rsidRPr="00000000" w14:paraId="00000013">
      <w:pPr>
        <w:spacing w:after="0" w:lineRule="auto"/>
        <w:rPr>
          <w:i w:val="1"/>
          <w:sz w:val="16"/>
          <w:szCs w:val="16"/>
        </w:rPr>
      </w:pPr>
      <w:r w:rsidDel="00000000" w:rsidR="00000000" w:rsidRPr="00000000">
        <w:rPr>
          <w:i w:val="1"/>
          <w:sz w:val="16"/>
          <w:szCs w:val="16"/>
          <w:rtl w:val="0"/>
        </w:rPr>
        <w:t xml:space="preserve">       * Very few/No: 0-49%                                                      **Some: 50-79%                                                        ***Most: 80-94%                                                 ****All/almost all: 95-100%</w:t>
      </w:r>
    </w:p>
    <w:p w:rsidR="00000000" w:rsidDel="00000000" w:rsidP="00000000" w:rsidRDefault="00000000" w:rsidRPr="00000000" w14:paraId="00000014">
      <w:pPr>
        <w:tabs>
          <w:tab w:val="left" w:pos="8272"/>
        </w:tabs>
        <w:spacing w:after="0" w:lineRule="auto"/>
        <w:rPr>
          <w:i w:val="1"/>
          <w:sz w:val="16"/>
          <w:szCs w:val="16"/>
        </w:rPr>
      </w:pPr>
      <w:r w:rsidDel="00000000" w:rsidR="00000000" w:rsidRPr="00000000">
        <w:rPr>
          <w:rtl w:val="0"/>
        </w:rPr>
      </w:r>
    </w:p>
    <w:tbl>
      <w:tblPr>
        <w:tblStyle w:val="Table2"/>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6735"/>
        <w:tblGridChange w:id="0">
          <w:tblGrid>
            <w:gridCol w:w="6945"/>
            <w:gridCol w:w="6735"/>
          </w:tblGrid>
        </w:tblGridChange>
      </w:tblGrid>
      <w:tr>
        <w:trPr>
          <w:trHeight w:val="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color w:val="2788bc"/>
                <w:sz w:val="22"/>
                <w:szCs w:val="22"/>
              </w:rPr>
            </w:pPr>
            <w:r w:rsidDel="00000000" w:rsidR="00000000" w:rsidRPr="00000000">
              <w:rPr>
                <w:color w:val="2788bc"/>
                <w:sz w:val="22"/>
                <w:szCs w:val="22"/>
                <w:rtl w:val="0"/>
              </w:rPr>
              <w:t xml:space="preserve">Teacher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Rule="auto"/>
              <w:rPr>
                <w:b w:val="1"/>
                <w:sz w:val="16"/>
                <w:szCs w:val="16"/>
              </w:rPr>
            </w:pPr>
            <w:r w:rsidDel="00000000" w:rsidR="00000000" w:rsidRPr="00000000">
              <w:rPr>
                <w:b w:val="1"/>
                <w:sz w:val="16"/>
                <w:szCs w:val="16"/>
                <w:rtl w:val="0"/>
              </w:rPr>
              <w:t xml:space="preserve">Synchronous Learning</w:t>
            </w:r>
          </w:p>
          <w:p w:rsidR="00000000" w:rsidDel="00000000" w:rsidP="00000000" w:rsidRDefault="00000000" w:rsidRPr="00000000" w14:paraId="00000018">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Heavy use of the chat to drive discourse and to respond to in the moment prompts </w:t>
            </w:r>
            <w:r w:rsidDel="00000000" w:rsidR="00000000" w:rsidRPr="00000000">
              <w:rPr>
                <w:rtl w:val="0"/>
              </w:rPr>
            </w:r>
          </w:p>
          <w:p w:rsidR="00000000" w:rsidDel="00000000" w:rsidP="00000000" w:rsidRDefault="00000000" w:rsidRPr="00000000" w14:paraId="00000019">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Use of hands raising feature</w:t>
            </w:r>
            <w:r w:rsidDel="00000000" w:rsidR="00000000" w:rsidRPr="00000000">
              <w:rPr>
                <w:rtl w:val="0"/>
              </w:rPr>
            </w:r>
          </w:p>
          <w:p w:rsidR="00000000" w:rsidDel="00000000" w:rsidP="00000000" w:rsidRDefault="00000000" w:rsidRPr="00000000" w14:paraId="0000001A">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Warm and cold calling to share in the zoom call</w:t>
            </w:r>
          </w:p>
          <w:p w:rsidR="00000000" w:rsidDel="00000000" w:rsidP="00000000" w:rsidRDefault="00000000" w:rsidRPr="00000000" w14:paraId="0000001B">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Use of breakout rooms to increase opportunities for student voice</w:t>
            </w:r>
          </w:p>
          <w:p w:rsidR="00000000" w:rsidDel="00000000" w:rsidP="00000000" w:rsidRDefault="00000000" w:rsidRPr="00000000" w14:paraId="0000001C">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Use of the whiteboard feature in zoom</w:t>
            </w:r>
            <w:r w:rsidDel="00000000" w:rsidR="00000000" w:rsidRPr="00000000">
              <w:rPr>
                <w:rtl w:val="0"/>
              </w:rPr>
            </w:r>
          </w:p>
          <w:p w:rsidR="00000000" w:rsidDel="00000000" w:rsidP="00000000" w:rsidRDefault="00000000" w:rsidRPr="00000000" w14:paraId="0000001D">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Interactive components (e.g., Nearpod, flipgrid, interactive slides, Google Classroom, Seesaw videos/audio)</w:t>
            </w:r>
            <w:r w:rsidDel="00000000" w:rsidR="00000000" w:rsidRPr="00000000">
              <w:rPr>
                <w:rtl w:val="0"/>
              </w:rPr>
            </w:r>
          </w:p>
          <w:p w:rsidR="00000000" w:rsidDel="00000000" w:rsidP="00000000" w:rsidRDefault="00000000" w:rsidRPr="00000000" w14:paraId="0000001E">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Can see almost all students faces (video on, decent lighting, their face is centered)</w:t>
            </w:r>
            <w:r w:rsidDel="00000000" w:rsidR="00000000" w:rsidRPr="00000000">
              <w:rPr>
                <w:rtl w:val="0"/>
              </w:rPr>
            </w:r>
          </w:p>
          <w:p w:rsidR="00000000" w:rsidDel="00000000" w:rsidP="00000000" w:rsidRDefault="00000000" w:rsidRPr="00000000" w14:paraId="0000001F">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b w:val="1"/>
                <w:sz w:val="16"/>
                <w:szCs w:val="16"/>
                <w:rtl w:val="0"/>
              </w:rPr>
              <w:t xml:space="preserve">If co-teaching</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20">
            <w:pPr>
              <w:widowControl w:val="0"/>
              <w:numPr>
                <w:ilvl w:val="1"/>
                <w:numId w:val="2"/>
              </w:numPr>
              <w:spacing w:after="0" w:line="24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Co-teaching model is selected and implemented based on needs of students (One teach-one support, Parallel, Team-teach, One teach-one pull)</w:t>
            </w:r>
            <w:r w:rsidDel="00000000" w:rsidR="00000000" w:rsidRPr="00000000">
              <w:rPr>
                <w:rtl w:val="0"/>
              </w:rPr>
            </w:r>
          </w:p>
          <w:p w:rsidR="00000000" w:rsidDel="00000000" w:rsidP="00000000" w:rsidRDefault="00000000" w:rsidRPr="00000000" w14:paraId="00000021">
            <w:pPr>
              <w:widowControl w:val="0"/>
              <w:numPr>
                <w:ilvl w:val="1"/>
                <w:numId w:val="2"/>
              </w:numPr>
              <w:spacing w:after="0" w:line="24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Co-teaching roles for engagement are clear throughout synchronous lesson </w:t>
            </w:r>
            <w:r w:rsidDel="00000000" w:rsidR="00000000" w:rsidRPr="00000000">
              <w:rPr>
                <w:rtl w:val="0"/>
              </w:rPr>
            </w:r>
          </w:p>
          <w:p w:rsidR="00000000" w:rsidDel="00000000" w:rsidP="00000000" w:rsidRDefault="00000000" w:rsidRPr="00000000" w14:paraId="00000022">
            <w:pPr>
              <w:widowControl w:val="0"/>
              <w:numPr>
                <w:ilvl w:val="0"/>
                <w:numId w:val="2"/>
              </w:numPr>
              <w:spacing w:after="0"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b w:val="1"/>
                <w:sz w:val="16"/>
                <w:szCs w:val="16"/>
                <w:rtl w:val="0"/>
              </w:rPr>
              <w:t xml:space="preserve">Special Educator expectations: </w:t>
            </w:r>
            <w:r w:rsidDel="00000000" w:rsidR="00000000" w:rsidRPr="00000000">
              <w:rPr>
                <w:rtl w:val="0"/>
              </w:rPr>
            </w:r>
          </w:p>
          <w:p w:rsidR="00000000" w:rsidDel="00000000" w:rsidP="00000000" w:rsidRDefault="00000000" w:rsidRPr="00000000" w14:paraId="00000023">
            <w:pPr>
              <w:widowControl w:val="0"/>
              <w:numPr>
                <w:ilvl w:val="1"/>
                <w:numId w:val="2"/>
              </w:numPr>
              <w:spacing w:after="0" w:line="24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Holding expectation that students can and will engage in the material</w:t>
            </w:r>
          </w:p>
          <w:p w:rsidR="00000000" w:rsidDel="00000000" w:rsidP="00000000" w:rsidRDefault="00000000" w:rsidRPr="00000000" w14:paraId="00000024">
            <w:pPr>
              <w:widowControl w:val="0"/>
              <w:numPr>
                <w:ilvl w:val="1"/>
                <w:numId w:val="2"/>
              </w:numPr>
              <w:spacing w:after="0" w:line="24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Supporting student engagement with a variety of scaffolded check for understanding questions </w:t>
            </w:r>
          </w:p>
          <w:p w:rsidR="00000000" w:rsidDel="00000000" w:rsidP="00000000" w:rsidRDefault="00000000" w:rsidRPr="00000000" w14:paraId="00000025">
            <w:pPr>
              <w:widowControl w:val="0"/>
              <w:numPr>
                <w:ilvl w:val="1"/>
                <w:numId w:val="2"/>
              </w:numPr>
              <w:spacing w:after="0" w:line="24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Using specific management needs identified on students IEP to engage in material and lesson</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60" w:lineRule="auto"/>
              <w:rPr>
                <w:b w:val="1"/>
                <w:sz w:val="16"/>
                <w:szCs w:val="16"/>
              </w:rPr>
            </w:pPr>
            <w:r w:rsidDel="00000000" w:rsidR="00000000" w:rsidRPr="00000000">
              <w:rPr>
                <w:b w:val="1"/>
                <w:sz w:val="16"/>
                <w:szCs w:val="16"/>
                <w:rtl w:val="0"/>
              </w:rPr>
              <w:t xml:space="preserve">Asynchronous Learning</w:t>
            </w:r>
          </w:p>
          <w:p w:rsidR="00000000" w:rsidDel="00000000" w:rsidP="00000000" w:rsidRDefault="00000000" w:rsidRPr="00000000" w14:paraId="00000028">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Interactive component (e.g., Nearpod poll, related task) </w:t>
            </w:r>
            <w:r w:rsidDel="00000000" w:rsidR="00000000" w:rsidRPr="00000000">
              <w:rPr>
                <w:rtl w:val="0"/>
              </w:rPr>
            </w:r>
          </w:p>
          <w:p w:rsidR="00000000" w:rsidDel="00000000" w:rsidP="00000000" w:rsidRDefault="00000000" w:rsidRPr="00000000" w14:paraId="00000029">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Voice over from teacher (i.e. expectation is not that the student is reading slides solo) </w:t>
            </w:r>
            <w:r w:rsidDel="00000000" w:rsidR="00000000" w:rsidRPr="00000000">
              <w:rPr>
                <w:rtl w:val="0"/>
              </w:rPr>
            </w:r>
          </w:p>
          <w:p w:rsidR="00000000" w:rsidDel="00000000" w:rsidP="00000000" w:rsidRDefault="00000000" w:rsidRPr="00000000" w14:paraId="0000002A">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Clear visuals that highlight key ideas or instructional points</w:t>
            </w:r>
            <w:r w:rsidDel="00000000" w:rsidR="00000000" w:rsidRPr="00000000">
              <w:rPr>
                <w:rtl w:val="0"/>
              </w:rPr>
            </w:r>
          </w:p>
          <w:p w:rsidR="00000000" w:rsidDel="00000000" w:rsidP="00000000" w:rsidRDefault="00000000" w:rsidRPr="00000000" w14:paraId="0000002B">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Visual highlighting matches what the teacher is saying (e.g. marking up, annotating, or pointing with cursor to highlight the relevant piece of visual)</w:t>
            </w:r>
            <w:r w:rsidDel="00000000" w:rsidR="00000000" w:rsidRPr="00000000">
              <w:rPr>
                <w:rtl w:val="0"/>
              </w:rPr>
            </w:r>
          </w:p>
          <w:p w:rsidR="00000000" w:rsidDel="00000000" w:rsidP="00000000" w:rsidRDefault="00000000" w:rsidRPr="00000000" w14:paraId="0000002C">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Ideal length is 5-10 minutes long </w:t>
            </w:r>
            <w:r w:rsidDel="00000000" w:rsidR="00000000" w:rsidRPr="00000000">
              <w:rPr>
                <w:rtl w:val="0"/>
              </w:rPr>
            </w:r>
          </w:p>
          <w:p w:rsidR="00000000" w:rsidDel="00000000" w:rsidP="00000000" w:rsidRDefault="00000000" w:rsidRPr="00000000" w14:paraId="0000002D">
            <w:pPr>
              <w:widowControl w:val="0"/>
              <w:numPr>
                <w:ilvl w:val="0"/>
                <w:numId w:val="3"/>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b w:val="1"/>
                <w:sz w:val="16"/>
                <w:szCs w:val="16"/>
                <w:rtl w:val="0"/>
              </w:rPr>
              <w:t xml:space="preserve">Special Educator Expectations: </w:t>
            </w:r>
            <w:r w:rsidDel="00000000" w:rsidR="00000000" w:rsidRPr="00000000">
              <w:rPr>
                <w:rtl w:val="0"/>
              </w:rPr>
            </w:r>
          </w:p>
          <w:p w:rsidR="00000000" w:rsidDel="00000000" w:rsidP="00000000" w:rsidRDefault="00000000" w:rsidRPr="00000000" w14:paraId="0000002E">
            <w:pPr>
              <w:widowControl w:val="0"/>
              <w:numPr>
                <w:ilvl w:val="1"/>
                <w:numId w:val="3"/>
              </w:numPr>
              <w:spacing w:after="0" w:afterAutospacing="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Material matches the needs of all learners in regards to format (verbal, visual, tactile)</w:t>
            </w:r>
          </w:p>
          <w:p w:rsidR="00000000" w:rsidDel="00000000" w:rsidP="00000000" w:rsidRDefault="00000000" w:rsidRPr="00000000" w14:paraId="0000002F">
            <w:pPr>
              <w:widowControl w:val="0"/>
              <w:numPr>
                <w:ilvl w:val="1"/>
                <w:numId w:val="3"/>
              </w:numPr>
              <w:spacing w:after="0" w:afterAutospacing="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Content is differentiated for select students based on need </w:t>
            </w:r>
          </w:p>
          <w:p w:rsidR="00000000" w:rsidDel="00000000" w:rsidP="00000000" w:rsidRDefault="00000000" w:rsidRPr="00000000" w14:paraId="00000030">
            <w:pPr>
              <w:widowControl w:val="0"/>
              <w:numPr>
                <w:ilvl w:val="1"/>
                <w:numId w:val="3"/>
              </w:numPr>
              <w:spacing w:after="6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Using specific management needs identified on students IEP to engage in material and lesson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Rule="auto"/>
              <w:rPr>
                <w:b w:val="1"/>
                <w:sz w:val="16"/>
                <w:szCs w:val="16"/>
              </w:rPr>
            </w:pPr>
            <w:r w:rsidDel="00000000" w:rsidR="00000000" w:rsidRPr="00000000">
              <w:rPr>
                <w:b w:val="1"/>
                <w:sz w:val="16"/>
                <w:szCs w:val="16"/>
                <w:rtl w:val="0"/>
              </w:rPr>
              <w:t xml:space="preserve">Distance Learning Examples </w:t>
            </w:r>
          </w:p>
          <w:p w:rsidR="00000000" w:rsidDel="00000000" w:rsidP="00000000" w:rsidRDefault="00000000" w:rsidRPr="00000000" w14:paraId="00000032">
            <w:pPr>
              <w:widowControl w:val="0"/>
              <w:numPr>
                <w:ilvl w:val="0"/>
                <w:numId w:val="3"/>
              </w:numPr>
              <w:spacing w:after="0" w:afterAutospacing="0" w:lineRule="auto"/>
              <w:ind w:left="720" w:hanging="360"/>
              <w:rPr>
                <w:rFonts w:ascii="Calibri" w:cs="Calibri" w:eastAsia="Calibri" w:hAnsi="Calibri"/>
                <w:sz w:val="16"/>
                <w:szCs w:val="16"/>
              </w:rPr>
            </w:pPr>
            <w:hyperlink r:id="rId6">
              <w:r w:rsidDel="00000000" w:rsidR="00000000" w:rsidRPr="00000000">
                <w:rPr>
                  <w:rFonts w:ascii="Calibri" w:cs="Calibri" w:eastAsia="Calibri" w:hAnsi="Calibri"/>
                  <w:color w:val="1155cc"/>
                  <w:sz w:val="16"/>
                  <w:szCs w:val="16"/>
                  <w:u w:val="single"/>
                  <w:rtl w:val="0"/>
                </w:rPr>
                <w:t xml:space="preserve">Geometry- Classifying Parallelograms Lesson</w:t>
              </w:r>
            </w:hyperlink>
            <w:r w:rsidDel="00000000" w:rsidR="00000000" w:rsidRPr="00000000">
              <w:rPr>
                <w:rtl w:val="0"/>
              </w:rPr>
            </w:r>
          </w:p>
          <w:p w:rsidR="00000000" w:rsidDel="00000000" w:rsidP="00000000" w:rsidRDefault="00000000" w:rsidRPr="00000000" w14:paraId="00000033">
            <w:pPr>
              <w:widowControl w:val="0"/>
              <w:numPr>
                <w:ilvl w:val="0"/>
                <w:numId w:val="3"/>
              </w:numPr>
              <w:spacing w:after="60" w:lineRule="auto"/>
              <w:ind w:left="720" w:hanging="360"/>
              <w:rPr>
                <w:rFonts w:ascii="Calibri" w:cs="Calibri" w:eastAsia="Calibri" w:hAnsi="Calibri"/>
                <w:sz w:val="16"/>
                <w:szCs w:val="16"/>
              </w:rPr>
            </w:pPr>
            <w:hyperlink r:id="rId7">
              <w:r w:rsidDel="00000000" w:rsidR="00000000" w:rsidRPr="00000000">
                <w:rPr>
                  <w:rFonts w:ascii="Calibri" w:cs="Calibri" w:eastAsia="Calibri" w:hAnsi="Calibri"/>
                  <w:color w:val="1155cc"/>
                  <w:sz w:val="16"/>
                  <w:szCs w:val="16"/>
                  <w:u w:val="single"/>
                  <w:rtl w:val="0"/>
                </w:rPr>
                <w:t xml:space="preserve">4th Grade- Story Problem and Shared Text Discourses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Rule="auto"/>
              <w:rPr>
                <w:b w:val="1"/>
                <w:sz w:val="16"/>
                <w:szCs w:val="16"/>
              </w:rPr>
            </w:pPr>
            <w:r w:rsidDel="00000000" w:rsidR="00000000" w:rsidRPr="00000000">
              <w:rPr>
                <w:b w:val="1"/>
                <w:sz w:val="16"/>
                <w:szCs w:val="16"/>
                <w:rtl w:val="0"/>
              </w:rPr>
              <w:t xml:space="preserve">Distance Learning Examples</w:t>
            </w:r>
          </w:p>
          <w:p w:rsidR="00000000" w:rsidDel="00000000" w:rsidP="00000000" w:rsidRDefault="00000000" w:rsidRPr="00000000" w14:paraId="00000035">
            <w:pPr>
              <w:widowControl w:val="0"/>
              <w:numPr>
                <w:ilvl w:val="0"/>
                <w:numId w:val="3"/>
              </w:numPr>
              <w:spacing w:after="0" w:afterAutospacing="0" w:lineRule="auto"/>
              <w:ind w:left="720" w:hanging="360"/>
              <w:rPr>
                <w:rFonts w:ascii="Calibri" w:cs="Calibri" w:eastAsia="Calibri" w:hAnsi="Calibri"/>
                <w:sz w:val="16"/>
                <w:szCs w:val="16"/>
              </w:rPr>
            </w:pPr>
            <w:hyperlink r:id="rId8">
              <w:r w:rsidDel="00000000" w:rsidR="00000000" w:rsidRPr="00000000">
                <w:rPr>
                  <w:rFonts w:ascii="Calibri" w:cs="Calibri" w:eastAsia="Calibri" w:hAnsi="Calibri"/>
                  <w:color w:val="1155cc"/>
                  <w:sz w:val="16"/>
                  <w:szCs w:val="16"/>
                  <w:u w:val="single"/>
                  <w:rtl w:val="0"/>
                </w:rPr>
                <w:t xml:space="preserve">Algebra 2 Launch Video</w:t>
              </w:r>
            </w:hyperlink>
            <w:r w:rsidDel="00000000" w:rsidR="00000000" w:rsidRPr="00000000">
              <w:rPr>
                <w:rtl w:val="0"/>
              </w:rPr>
            </w:r>
          </w:p>
          <w:p w:rsidR="00000000" w:rsidDel="00000000" w:rsidP="00000000" w:rsidRDefault="00000000" w:rsidRPr="00000000" w14:paraId="00000036">
            <w:pPr>
              <w:widowControl w:val="0"/>
              <w:numPr>
                <w:ilvl w:val="0"/>
                <w:numId w:val="3"/>
              </w:numPr>
              <w:spacing w:after="60" w:lineRule="auto"/>
              <w:ind w:left="720" w:hanging="360"/>
              <w:rPr>
                <w:rFonts w:ascii="Calibri" w:cs="Calibri" w:eastAsia="Calibri" w:hAnsi="Calibri"/>
                <w:sz w:val="16"/>
                <w:szCs w:val="16"/>
                <w:u w:val="none"/>
              </w:rPr>
            </w:pPr>
            <w:hyperlink r:id="rId9">
              <w:r w:rsidDel="00000000" w:rsidR="00000000" w:rsidRPr="00000000">
                <w:rPr>
                  <w:rFonts w:ascii="Calibri" w:cs="Calibri" w:eastAsia="Calibri" w:hAnsi="Calibri"/>
                  <w:color w:val="1155cc"/>
                  <w:sz w:val="16"/>
                  <w:szCs w:val="16"/>
                  <w:u w:val="single"/>
                  <w:rtl w:val="0"/>
                </w:rPr>
                <w:t xml:space="preserve">Middle School Science Launch Video</w:t>
              </w:r>
            </w:hyperlink>
            <w:r w:rsidDel="00000000" w:rsidR="00000000" w:rsidRPr="00000000">
              <w:rPr>
                <w:rtl w:val="0"/>
              </w:rPr>
            </w:r>
          </w:p>
          <w:p w:rsidR="00000000" w:rsidDel="00000000" w:rsidP="00000000" w:rsidRDefault="00000000" w:rsidRPr="00000000" w14:paraId="00000037">
            <w:pPr>
              <w:widowControl w:val="0"/>
              <w:spacing w:after="0" w:lineRule="auto"/>
              <w:rPr>
                <w:b w:val="1"/>
                <w:sz w:val="16"/>
                <w:szCs w:val="16"/>
              </w:rPr>
            </w:pPr>
            <w:r w:rsidDel="00000000" w:rsidR="00000000" w:rsidRPr="00000000">
              <w:rPr>
                <w:rtl w:val="0"/>
              </w:rPr>
            </w:r>
          </w:p>
        </w:tc>
      </w:tr>
    </w:tbl>
    <w:p w:rsidR="00000000" w:rsidDel="00000000" w:rsidP="00000000" w:rsidRDefault="00000000" w:rsidRPr="00000000" w14:paraId="00000038">
      <w:pPr>
        <w:tabs>
          <w:tab w:val="left" w:pos="8272"/>
        </w:tabs>
        <w:spacing w:after="0" w:lineRule="auto"/>
        <w:rPr>
          <w:i w:val="1"/>
          <w:sz w:val="16"/>
          <w:szCs w:val="16"/>
        </w:rPr>
      </w:pPr>
      <w:r w:rsidDel="00000000" w:rsidR="00000000" w:rsidRPr="00000000">
        <w:rPr>
          <w:i w:val="1"/>
          <w:sz w:val="16"/>
          <w:szCs w:val="16"/>
          <w:rtl w:val="0"/>
        </w:rPr>
        <w:tab/>
      </w:r>
    </w:p>
    <w:p w:rsidR="00000000" w:rsidDel="00000000" w:rsidP="00000000" w:rsidRDefault="00000000" w:rsidRPr="00000000" w14:paraId="00000039">
      <w:pPr>
        <w:pStyle w:val="Heading1"/>
        <w:ind w:left="-540" w:firstLine="0"/>
        <w:rPr>
          <w:sz w:val="28"/>
          <w:szCs w:val="28"/>
        </w:rPr>
      </w:pPr>
      <w:r w:rsidDel="00000000" w:rsidR="00000000" w:rsidRPr="00000000">
        <w:rPr>
          <w:rtl w:val="0"/>
        </w:rPr>
        <w:t xml:space="preserve">ACADEMIC OWNERSHIP </w:t>
      </w:r>
      <w:r w:rsidDel="00000000" w:rsidR="00000000" w:rsidRPr="00000000">
        <w:rPr>
          <w:rFonts w:ascii="Times New Roman" w:cs="Times New Roman" w:eastAsia="Times New Roman" w:hAnsi="Times New Roman"/>
          <w:color w:val="dddddd"/>
          <w:sz w:val="36"/>
          <w:szCs w:val="36"/>
          <w:rtl w:val="0"/>
        </w:rPr>
        <w:t xml:space="preserve">|</w:t>
      </w:r>
      <w:r w:rsidDel="00000000" w:rsidR="00000000" w:rsidRPr="00000000">
        <w:rPr>
          <w:rtl w:val="0"/>
        </w:rPr>
        <w:t xml:space="preserve"> </w:t>
      </w:r>
      <w:r w:rsidDel="00000000" w:rsidR="00000000" w:rsidRPr="00000000">
        <w:rPr>
          <w:sz w:val="28"/>
          <w:szCs w:val="28"/>
          <w:rtl w:val="0"/>
        </w:rPr>
        <w:t xml:space="preserve">Are all students responsible for doing the thinking in this classroom?</w:t>
      </w:r>
    </w:p>
    <w:tbl>
      <w:tblPr>
        <w:tblStyle w:val="Table3"/>
        <w:tblW w:w="14850.0" w:type="dxa"/>
        <w:jc w:val="left"/>
        <w:tblInd w:w="-425.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3712"/>
        <w:gridCol w:w="3713"/>
        <w:gridCol w:w="3712"/>
        <w:gridCol w:w="3713"/>
        <w:tblGridChange w:id="0">
          <w:tblGrid>
            <w:gridCol w:w="3712"/>
            <w:gridCol w:w="3713"/>
            <w:gridCol w:w="3712"/>
            <w:gridCol w:w="3713"/>
          </w:tblGrid>
        </w:tblGridChange>
      </w:tblGrid>
      <w:tr>
        <w:trPr>
          <w:trHeight w:val="334" w:hRule="atLeast"/>
        </w:trPr>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3A">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NEEDS IMPROVEMENT</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3B">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APPROACHING EFFECTIVE</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3C">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EFFECTIVE</w:t>
            </w:r>
          </w:p>
        </w:tc>
        <w:tc>
          <w:tcPr>
            <w:tcBorders>
              <w:top w:color="a6a6a6" w:space="0" w:sz="4" w:val="single"/>
              <w:left w:color="a6a6a6" w:space="0" w:sz="4" w:val="single"/>
              <w:bottom w:color="000000" w:space="0" w:sz="0" w:val="nil"/>
              <w:right w:color="a6a6a6" w:space="0" w:sz="4" w:val="single"/>
            </w:tcBorders>
            <w:shd w:fill="2788bc" w:val="clear"/>
            <w:vAlign w:val="center"/>
          </w:tcPr>
          <w:p w:rsidR="00000000" w:rsidDel="00000000" w:rsidP="00000000" w:rsidRDefault="00000000" w:rsidRPr="00000000" w14:paraId="0000003D">
            <w:pPr>
              <w:pStyle w:val="Heading2"/>
              <w:spacing w:after="60" w:before="60" w:lineRule="auto"/>
              <w:ind w:firstLine="0"/>
              <w:jc w:val="center"/>
              <w:rPr>
                <w:rFonts w:ascii="Arial Narrow" w:cs="Arial Narrow" w:eastAsia="Arial Narrow" w:hAnsi="Arial Narrow"/>
                <w:b w:val="1"/>
                <w:color w:val="ffffff"/>
                <w:sz w:val="18"/>
                <w:szCs w:val="18"/>
              </w:rPr>
            </w:pPr>
            <w:r w:rsidDel="00000000" w:rsidR="00000000" w:rsidRPr="00000000">
              <w:rPr>
                <w:rFonts w:ascii="Arial Narrow" w:cs="Arial Narrow" w:eastAsia="Arial Narrow" w:hAnsi="Arial Narrow"/>
                <w:b w:val="1"/>
                <w:color w:val="ffffff"/>
                <w:sz w:val="18"/>
                <w:szCs w:val="18"/>
                <w:rtl w:val="0"/>
              </w:rPr>
              <w:t xml:space="preserve">HIGHLY EFFECTIVE</w:t>
            </w:r>
          </w:p>
        </w:tc>
      </w:tr>
      <w:tr>
        <w:trPr>
          <w:trHeight w:val="1214" w:hRule="atLeast"/>
        </w:trPr>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3E">
            <w:pPr>
              <w:rPr>
                <w:color w:val="000000"/>
                <w:sz w:val="16"/>
                <w:szCs w:val="16"/>
              </w:rPr>
            </w:pPr>
            <w:r w:rsidDel="00000000" w:rsidR="00000000" w:rsidRPr="00000000">
              <w:rPr>
                <w:b w:val="1"/>
                <w:sz w:val="16"/>
                <w:szCs w:val="16"/>
                <w:rtl w:val="0"/>
              </w:rPr>
              <w:t xml:space="preserve">Cognitive Work: </w:t>
            </w:r>
            <w:r w:rsidDel="00000000" w:rsidR="00000000" w:rsidRPr="00000000">
              <w:rPr>
                <w:color w:val="000000"/>
                <w:sz w:val="16"/>
                <w:szCs w:val="16"/>
                <w:rtl w:val="0"/>
              </w:rPr>
              <w:t xml:space="preserve">Students complete very little of the cognitive work during the lesson, such as reading, writing, discussion, analysis, computation, or problem solving; the teacher completes all or almost all of the cognitive work.</w:t>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3F">
            <w:pPr>
              <w:rPr>
                <w:color w:val="000000"/>
                <w:sz w:val="16"/>
                <w:szCs w:val="16"/>
              </w:rPr>
            </w:pPr>
            <w:r w:rsidDel="00000000" w:rsidR="00000000" w:rsidRPr="00000000">
              <w:rPr>
                <w:b w:val="1"/>
                <w:sz w:val="16"/>
                <w:szCs w:val="16"/>
                <w:rtl w:val="0"/>
              </w:rPr>
              <w:t xml:space="preserve">Cognitive Work: </w:t>
            </w:r>
            <w:r w:rsidDel="00000000" w:rsidR="00000000" w:rsidRPr="00000000">
              <w:rPr>
                <w:color w:val="000000"/>
                <w:sz w:val="16"/>
                <w:szCs w:val="16"/>
                <w:rtl w:val="0"/>
              </w:rPr>
              <w:t xml:space="preserve">Students complete some of the cognitive work during the lesson, such as reading, writing, discussion, analysis, computation, or problem solving, but the teacher or a very small number of students complete most of the cognitive work.</w:t>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0">
            <w:pPr>
              <w:rPr>
                <w:color w:val="000000"/>
                <w:sz w:val="16"/>
                <w:szCs w:val="16"/>
                <w:highlight w:val="yellow"/>
              </w:rPr>
            </w:pPr>
            <w:r w:rsidDel="00000000" w:rsidR="00000000" w:rsidRPr="00000000">
              <w:rPr>
                <w:b w:val="1"/>
                <w:sz w:val="16"/>
                <w:szCs w:val="16"/>
                <w:rtl w:val="0"/>
              </w:rPr>
              <w:t xml:space="preserve">Cognitive Work: </w:t>
            </w:r>
            <w:r w:rsidDel="00000000" w:rsidR="00000000" w:rsidRPr="00000000">
              <w:rPr>
                <w:color w:val="000000"/>
                <w:sz w:val="16"/>
                <w:szCs w:val="16"/>
                <w:rtl w:val="0"/>
              </w:rPr>
              <w:t xml:space="preserve">Students complete an appropriately challenging amount of the cognitive work during the lesson, such as reading, writing, discussion, analysis, computation, or problem solving, given the focus of the lesson, and most of the students complete the cognitive work.</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1">
            <w:pPr>
              <w:rPr>
                <w:color w:val="000000"/>
                <w:sz w:val="16"/>
                <w:szCs w:val="16"/>
              </w:rPr>
            </w:pPr>
            <w:r w:rsidDel="00000000" w:rsidR="00000000" w:rsidRPr="00000000">
              <w:rPr>
                <w:b w:val="1"/>
                <w:sz w:val="16"/>
                <w:szCs w:val="16"/>
                <w:rtl w:val="0"/>
              </w:rPr>
              <w:t xml:space="preserve">Cognitive Work: </w:t>
            </w:r>
            <w:r w:rsidDel="00000000" w:rsidR="00000000" w:rsidRPr="00000000">
              <w:rPr>
                <w:color w:val="000000"/>
                <w:sz w:val="16"/>
                <w:szCs w:val="16"/>
                <w:rtl w:val="0"/>
              </w:rPr>
              <w:t xml:space="preserve">Students complete an appropriately challenging amount of the cognitive work during the lesson, such as reading, writing, discussion, analysis, computation, or problem solving, given the focus of the lesson, and all or almost all of the students complete the cognitive work.</w:t>
            </w:r>
          </w:p>
        </w:tc>
      </w:tr>
      <w:tr>
        <w:trPr>
          <w:trHeight w:val="953" w:hRule="atLeast"/>
        </w:trPr>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2">
            <w:pPr>
              <w:rPr>
                <w:color w:val="000000"/>
                <w:sz w:val="16"/>
                <w:szCs w:val="16"/>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3">
            <w:pPr>
              <w:rPr>
                <w:color w:val="000000"/>
                <w:sz w:val="16"/>
                <w:szCs w:val="16"/>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4">
            <w:pPr>
              <w:rPr>
                <w:color w:val="000000"/>
                <w:sz w:val="16"/>
                <w:szCs w:val="16"/>
              </w:rPr>
            </w:pP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72.0" w:type="dxa"/>
              <w:left w:w="72.0" w:type="dxa"/>
              <w:right w:w="72.0" w:type="dxa"/>
            </w:tcMar>
          </w:tcPr>
          <w:p w:rsidR="00000000" w:rsidDel="00000000" w:rsidP="00000000" w:rsidRDefault="00000000" w:rsidRPr="00000000" w14:paraId="00000045">
            <w:pPr>
              <w:rPr>
                <w:color w:val="000000"/>
                <w:sz w:val="16"/>
                <w:szCs w:val="16"/>
              </w:rPr>
            </w:pPr>
            <w:r w:rsidDel="00000000" w:rsidR="00000000" w:rsidRPr="00000000">
              <w:rPr>
                <w:rtl w:val="0"/>
              </w:rPr>
            </w:r>
          </w:p>
        </w:tc>
      </w:tr>
      <w:tr>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46">
            <w:pPr>
              <w:rPr>
                <w:b w:val="1"/>
                <w:sz w:val="16"/>
                <w:szCs w:val="16"/>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47">
            <w:pPr>
              <w:rPr>
                <w:b w:val="1"/>
                <w:sz w:val="16"/>
                <w:szCs w:val="16"/>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48">
            <w:pPr>
              <w:rPr>
                <w:b w:val="1"/>
                <w:sz w:val="16"/>
                <w:szCs w:val="16"/>
              </w:rPr>
            </w:pPr>
            <w:r w:rsidDel="00000000" w:rsidR="00000000" w:rsidRPr="00000000">
              <w:rPr>
                <w:rtl w:val="0"/>
              </w:rPr>
            </w:r>
          </w:p>
        </w:tc>
        <w:tc>
          <w:tcPr>
            <w:tcBorders>
              <w:top w:color="000000" w:space="0" w:sz="0" w:val="nil"/>
              <w:left w:color="a6a6a6" w:space="0" w:sz="4" w:val="single"/>
              <w:bottom w:color="a6a6a6" w:space="0" w:sz="4" w:val="single"/>
              <w:right w:color="a6a6a6" w:space="0" w:sz="4" w:val="single"/>
            </w:tcBorders>
            <w:shd w:fill="auto" w:val="clear"/>
            <w:tcMar>
              <w:top w:w="72.0" w:type="dxa"/>
              <w:left w:w="72.0" w:type="dxa"/>
              <w:right w:w="72.0" w:type="dxa"/>
            </w:tcMar>
          </w:tcPr>
          <w:p w:rsidR="00000000" w:rsidDel="00000000" w:rsidP="00000000" w:rsidRDefault="00000000" w:rsidRPr="00000000" w14:paraId="00000049">
            <w:pPr>
              <w:rPr>
                <w:b w:val="1"/>
                <w:sz w:val="16"/>
                <w:szCs w:val="16"/>
              </w:rPr>
            </w:pPr>
            <w:r w:rsidDel="00000000" w:rsidR="00000000" w:rsidRPr="00000000">
              <w:rPr>
                <w:rtl w:val="0"/>
              </w:rPr>
            </w:r>
          </w:p>
        </w:tc>
      </w:tr>
    </w:tbl>
    <w:p w:rsidR="00000000" w:rsidDel="00000000" w:rsidP="00000000" w:rsidRDefault="00000000" w:rsidRPr="00000000" w14:paraId="0000004A">
      <w:pPr>
        <w:spacing w:after="0" w:lineRule="auto"/>
        <w:rPr>
          <w:i w:val="1"/>
          <w:sz w:val="16"/>
          <w:szCs w:val="16"/>
        </w:rPr>
      </w:pPr>
      <w:r w:rsidDel="00000000" w:rsidR="00000000" w:rsidRPr="00000000">
        <w:rPr>
          <w:i w:val="1"/>
          <w:sz w:val="16"/>
          <w:szCs w:val="16"/>
          <w:rtl w:val="0"/>
        </w:rPr>
        <w:t xml:space="preserve">       * Very few/No: 0-49%                                                      **Some: 50-79%                                                        ***Most: 80-94%                                                 ****All/almost all: 95-100%</w:t>
      </w:r>
    </w:p>
    <w:p w:rsidR="00000000" w:rsidDel="00000000" w:rsidP="00000000" w:rsidRDefault="00000000" w:rsidRPr="00000000" w14:paraId="0000004B">
      <w:pPr>
        <w:tabs>
          <w:tab w:val="left" w:pos="8272"/>
        </w:tabs>
        <w:spacing w:after="0" w:lineRule="auto"/>
        <w:rPr>
          <w:i w:val="1"/>
          <w:sz w:val="16"/>
          <w:szCs w:val="16"/>
        </w:rPr>
      </w:pPr>
      <w:r w:rsidDel="00000000" w:rsidR="00000000" w:rsidRPr="00000000">
        <w:rPr>
          <w:rtl w:val="0"/>
        </w:rPr>
      </w:r>
    </w:p>
    <w:tbl>
      <w:tblPr>
        <w:tblStyle w:val="Table4"/>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40"/>
        <w:gridCol w:w="6840"/>
        <w:tblGridChange w:id="0">
          <w:tblGrid>
            <w:gridCol w:w="6840"/>
            <w:gridCol w:w="6840"/>
          </w:tblGrid>
        </w:tblGridChange>
      </w:tblGrid>
      <w:tr>
        <w:trPr>
          <w:trHeight w:val="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color w:val="2788bc"/>
                <w:sz w:val="22"/>
                <w:szCs w:val="22"/>
              </w:rPr>
            </w:pPr>
            <w:r w:rsidDel="00000000" w:rsidR="00000000" w:rsidRPr="00000000">
              <w:rPr>
                <w:color w:val="2788bc"/>
                <w:sz w:val="22"/>
                <w:szCs w:val="22"/>
                <w:rtl w:val="0"/>
              </w:rPr>
              <w:t xml:space="preserve">Teacher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60" w:lineRule="auto"/>
              <w:rPr>
                <w:b w:val="1"/>
                <w:sz w:val="16"/>
                <w:szCs w:val="16"/>
              </w:rPr>
            </w:pPr>
            <w:r w:rsidDel="00000000" w:rsidR="00000000" w:rsidRPr="00000000">
              <w:rPr>
                <w:b w:val="1"/>
                <w:sz w:val="16"/>
                <w:szCs w:val="16"/>
                <w:rtl w:val="0"/>
              </w:rPr>
              <w:t xml:space="preserve">Synchronous Learning </w:t>
            </w:r>
          </w:p>
          <w:p w:rsidR="00000000" w:rsidDel="00000000" w:rsidP="00000000" w:rsidRDefault="00000000" w:rsidRPr="00000000" w14:paraId="0000004F">
            <w:pPr>
              <w:widowControl w:val="0"/>
              <w:numPr>
                <w:ilvl w:val="0"/>
                <w:numId w:val="4"/>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Target (TBD) of chat/verbal responses </w:t>
            </w:r>
          </w:p>
          <w:p w:rsidR="00000000" w:rsidDel="00000000" w:rsidP="00000000" w:rsidRDefault="00000000" w:rsidRPr="00000000" w14:paraId="00000050">
            <w:pPr>
              <w:widowControl w:val="0"/>
              <w:numPr>
                <w:ilvl w:val="0"/>
                <w:numId w:val="4"/>
              </w:numPr>
              <w:spacing w:after="0" w:afterAutospacing="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Discourse advances students toward grade-level standards and/or IEP goals</w:t>
            </w:r>
          </w:p>
          <w:p w:rsidR="00000000" w:rsidDel="00000000" w:rsidP="00000000" w:rsidRDefault="00000000" w:rsidRPr="00000000" w14:paraId="00000051">
            <w:pPr>
              <w:widowControl w:val="0"/>
              <w:numPr>
                <w:ilvl w:val="0"/>
                <w:numId w:val="4"/>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Students share their own strategies, ideas, and questions</w:t>
            </w:r>
          </w:p>
          <w:p w:rsidR="00000000" w:rsidDel="00000000" w:rsidP="00000000" w:rsidRDefault="00000000" w:rsidRPr="00000000" w14:paraId="00000052">
            <w:pPr>
              <w:widowControl w:val="0"/>
              <w:numPr>
                <w:ilvl w:val="0"/>
                <w:numId w:val="4"/>
              </w:numPr>
              <w:spacing w:after="0" w:afterAutospacing="0" w:lineRule="auto"/>
              <w:ind w:left="720" w:hanging="36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Special Educator expectations: </w:t>
            </w:r>
            <w:r w:rsidDel="00000000" w:rsidR="00000000" w:rsidRPr="00000000">
              <w:rPr>
                <w:rtl w:val="0"/>
              </w:rPr>
            </w:r>
          </w:p>
          <w:p w:rsidR="00000000" w:rsidDel="00000000" w:rsidP="00000000" w:rsidRDefault="00000000" w:rsidRPr="00000000" w14:paraId="00000053">
            <w:pPr>
              <w:widowControl w:val="0"/>
              <w:numPr>
                <w:ilvl w:val="1"/>
                <w:numId w:val="4"/>
              </w:numPr>
              <w:spacing w:after="0" w:afterAutospacing="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Holding expectation that students can and will complete work</w:t>
            </w:r>
          </w:p>
          <w:p w:rsidR="00000000" w:rsidDel="00000000" w:rsidP="00000000" w:rsidRDefault="00000000" w:rsidRPr="00000000" w14:paraId="00000054">
            <w:pPr>
              <w:widowControl w:val="0"/>
              <w:numPr>
                <w:ilvl w:val="1"/>
                <w:numId w:val="4"/>
              </w:numPr>
              <w:spacing w:after="0" w:afterAutospacing="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Supporting student  with a variety of scaffolded check for understanding questions, and individualized or differentiated materials if needed</w:t>
            </w:r>
          </w:p>
          <w:p w:rsidR="00000000" w:rsidDel="00000000" w:rsidP="00000000" w:rsidRDefault="00000000" w:rsidRPr="00000000" w14:paraId="00000055">
            <w:pPr>
              <w:widowControl w:val="0"/>
              <w:numPr>
                <w:ilvl w:val="1"/>
                <w:numId w:val="4"/>
              </w:numPr>
              <w:spacing w:after="0" w:afterAutospacing="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Using a variety of ways in which students can respond to prompt/question (write, draw, discourse) </w:t>
            </w:r>
          </w:p>
          <w:p w:rsidR="00000000" w:rsidDel="00000000" w:rsidP="00000000" w:rsidRDefault="00000000" w:rsidRPr="00000000" w14:paraId="00000056">
            <w:pPr>
              <w:widowControl w:val="0"/>
              <w:numPr>
                <w:ilvl w:val="1"/>
                <w:numId w:val="4"/>
              </w:numPr>
              <w:spacing w:after="60" w:lineRule="auto"/>
              <w:ind w:left="144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Using specific management needs identified on students IEP for students to complete work </w:t>
            </w:r>
          </w:p>
          <w:p w:rsidR="00000000" w:rsidDel="00000000" w:rsidP="00000000" w:rsidRDefault="00000000" w:rsidRPr="00000000" w14:paraId="00000057">
            <w:pPr>
              <w:widowControl w:val="0"/>
              <w:spacing w:after="0"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60" w:lineRule="auto"/>
              <w:rPr>
                <w:b w:val="1"/>
                <w:sz w:val="16"/>
                <w:szCs w:val="16"/>
              </w:rPr>
            </w:pPr>
            <w:r w:rsidDel="00000000" w:rsidR="00000000" w:rsidRPr="00000000">
              <w:rPr>
                <w:b w:val="1"/>
                <w:sz w:val="16"/>
                <w:szCs w:val="16"/>
                <w:rtl w:val="0"/>
              </w:rPr>
              <w:t xml:space="preserve">Asynchronous Learning</w:t>
            </w:r>
          </w:p>
          <w:p w:rsidR="00000000" w:rsidDel="00000000" w:rsidP="00000000" w:rsidRDefault="00000000" w:rsidRPr="00000000" w14:paraId="00000059">
            <w:pPr>
              <w:widowControl w:val="0"/>
              <w:numPr>
                <w:ilvl w:val="0"/>
                <w:numId w:val="1"/>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Task is appropriately challenging and advances students toward grade-level standards and/or IEP goals</w:t>
            </w:r>
            <w:r w:rsidDel="00000000" w:rsidR="00000000" w:rsidRPr="00000000">
              <w:rPr>
                <w:rtl w:val="0"/>
              </w:rPr>
            </w:r>
          </w:p>
          <w:p w:rsidR="00000000" w:rsidDel="00000000" w:rsidP="00000000" w:rsidRDefault="00000000" w:rsidRPr="00000000" w14:paraId="0000005A">
            <w:pPr>
              <w:widowControl w:val="0"/>
              <w:numPr>
                <w:ilvl w:val="0"/>
                <w:numId w:val="1"/>
              </w:numPr>
              <w:spacing w:after="0" w:afterAutospacing="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Strategies and ideas that are shared come from students rather than the teacher </w:t>
            </w:r>
            <w:r w:rsidDel="00000000" w:rsidR="00000000" w:rsidRPr="00000000">
              <w:rPr>
                <w:rtl w:val="0"/>
              </w:rPr>
            </w:r>
          </w:p>
          <w:p w:rsidR="00000000" w:rsidDel="00000000" w:rsidP="00000000" w:rsidRDefault="00000000" w:rsidRPr="00000000" w14:paraId="0000005B">
            <w:pPr>
              <w:widowControl w:val="0"/>
              <w:numPr>
                <w:ilvl w:val="0"/>
                <w:numId w:val="1"/>
              </w:numPr>
              <w:spacing w:after="0" w:afterAutospacing="0" w:lineRule="auto"/>
              <w:ind w:left="720" w:hanging="36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Special Educator expectations: </w:t>
            </w:r>
            <w:r w:rsidDel="00000000" w:rsidR="00000000" w:rsidRPr="00000000">
              <w:rPr>
                <w:rtl w:val="0"/>
              </w:rPr>
            </w:r>
          </w:p>
          <w:p w:rsidR="00000000" w:rsidDel="00000000" w:rsidP="00000000" w:rsidRDefault="00000000" w:rsidRPr="00000000" w14:paraId="0000005C">
            <w:pPr>
              <w:widowControl w:val="0"/>
              <w:numPr>
                <w:ilvl w:val="1"/>
                <w:numId w:val="1"/>
              </w:numPr>
              <w:spacing w:after="0" w:afterAutospacing="0" w:lineRule="auto"/>
              <w:ind w:left="1440" w:hanging="360"/>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Materials and work support growth of IEP goals</w:t>
            </w:r>
          </w:p>
          <w:p w:rsidR="00000000" w:rsidDel="00000000" w:rsidP="00000000" w:rsidRDefault="00000000" w:rsidRPr="00000000" w14:paraId="0000005D">
            <w:pPr>
              <w:widowControl w:val="0"/>
              <w:numPr>
                <w:ilvl w:val="1"/>
                <w:numId w:val="1"/>
              </w:numPr>
              <w:spacing w:after="60" w:lineRule="auto"/>
              <w:ind w:left="1440" w:hanging="360"/>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Work supports specific needs with management needs that are taught into and used by student during asynchronous time </w:t>
            </w:r>
          </w:p>
          <w:p w:rsidR="00000000" w:rsidDel="00000000" w:rsidP="00000000" w:rsidRDefault="00000000" w:rsidRPr="00000000" w14:paraId="0000005E">
            <w:pPr>
              <w:widowControl w:val="0"/>
              <w:spacing w:after="60" w:lineRule="auto"/>
              <w:ind w:left="720" w:firstLine="0"/>
              <w:rPr>
                <w:i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rPr>
                <w:b w:val="1"/>
                <w:sz w:val="16"/>
                <w:szCs w:val="16"/>
              </w:rPr>
            </w:pPr>
            <w:r w:rsidDel="00000000" w:rsidR="00000000" w:rsidRPr="00000000">
              <w:rPr>
                <w:b w:val="1"/>
                <w:sz w:val="16"/>
                <w:szCs w:val="16"/>
                <w:rtl w:val="0"/>
              </w:rPr>
              <w:t xml:space="preserve">Distance Learning Examples </w:t>
            </w:r>
          </w:p>
          <w:p w:rsidR="00000000" w:rsidDel="00000000" w:rsidP="00000000" w:rsidRDefault="00000000" w:rsidRPr="00000000" w14:paraId="00000060">
            <w:pPr>
              <w:widowControl w:val="0"/>
              <w:numPr>
                <w:ilvl w:val="0"/>
                <w:numId w:val="3"/>
              </w:numPr>
              <w:spacing w:after="60" w:lineRule="auto"/>
              <w:ind w:left="720" w:hanging="360"/>
              <w:rPr>
                <w:rFonts w:ascii="Calibri" w:cs="Calibri" w:eastAsia="Calibri" w:hAnsi="Calibri"/>
                <w:sz w:val="16"/>
                <w:szCs w:val="16"/>
              </w:rPr>
            </w:pPr>
            <w:hyperlink r:id="rId10">
              <w:r w:rsidDel="00000000" w:rsidR="00000000" w:rsidRPr="00000000">
                <w:rPr>
                  <w:rFonts w:ascii="Calibri" w:cs="Calibri" w:eastAsia="Calibri" w:hAnsi="Calibri"/>
                  <w:color w:val="1155cc"/>
                  <w:sz w:val="16"/>
                  <w:szCs w:val="16"/>
                  <w:u w:val="single"/>
                  <w:rtl w:val="0"/>
                </w:rPr>
                <w:t xml:space="preserve">3rd Grade- Story Problem Discourse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rPr>
                <w:b w:val="1"/>
                <w:sz w:val="16"/>
                <w:szCs w:val="16"/>
              </w:rPr>
            </w:pPr>
            <w:r w:rsidDel="00000000" w:rsidR="00000000" w:rsidRPr="00000000">
              <w:rPr>
                <w:b w:val="1"/>
                <w:sz w:val="16"/>
                <w:szCs w:val="16"/>
                <w:rtl w:val="0"/>
              </w:rPr>
              <w:t xml:space="preserve">Distance Learning Examples </w:t>
            </w:r>
          </w:p>
          <w:p w:rsidR="00000000" w:rsidDel="00000000" w:rsidP="00000000" w:rsidRDefault="00000000" w:rsidRPr="00000000" w14:paraId="00000062">
            <w:pPr>
              <w:widowControl w:val="0"/>
              <w:numPr>
                <w:ilvl w:val="0"/>
                <w:numId w:val="3"/>
              </w:numPr>
              <w:spacing w:after="60" w:lineRule="auto"/>
              <w:ind w:left="720" w:hanging="360"/>
              <w:rPr>
                <w:rFonts w:ascii="Calibri" w:cs="Calibri" w:eastAsia="Calibri" w:hAnsi="Calibri"/>
                <w:sz w:val="16"/>
                <w:szCs w:val="16"/>
              </w:rPr>
            </w:pPr>
            <w:hyperlink r:id="rId11">
              <w:r w:rsidDel="00000000" w:rsidR="00000000" w:rsidRPr="00000000">
                <w:rPr>
                  <w:rFonts w:ascii="Calibri" w:cs="Calibri" w:eastAsia="Calibri" w:hAnsi="Calibri"/>
                  <w:color w:val="1155cc"/>
                  <w:sz w:val="16"/>
                  <w:szCs w:val="16"/>
                  <w:u w:val="single"/>
                  <w:rtl w:val="0"/>
                </w:rPr>
                <w:t xml:space="preserve">PreK- Rhyming Video</w:t>
              </w:r>
            </w:hyperlink>
            <w:r w:rsidDel="00000000" w:rsidR="00000000" w:rsidRPr="00000000">
              <w:rPr>
                <w:rtl w:val="0"/>
              </w:rPr>
            </w:r>
          </w:p>
        </w:tc>
      </w:tr>
    </w:tbl>
    <w:p w:rsidR="00000000" w:rsidDel="00000000" w:rsidP="00000000" w:rsidRDefault="00000000" w:rsidRPr="00000000" w14:paraId="00000063">
      <w:pPr>
        <w:tabs>
          <w:tab w:val="left" w:pos="8272"/>
        </w:tabs>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12" w:type="default"/>
      <w:footerReference r:id="rId13" w:type="default"/>
      <w:pgSz w:h="12240" w:w="15840"/>
      <w:pgMar w:bottom="1440" w:top="1080" w:left="1080" w:right="108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13680"/>
      </w:tabs>
      <w:spacing w:after="100" w:before="0" w:line="252.00000000000003"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1"/>
        <w:smallCaps w:val="0"/>
        <w:strike w:val="0"/>
        <w:color w:val="808080"/>
        <w:sz w:val="16"/>
        <w:szCs w:val="16"/>
        <w:u w:val="none"/>
        <w:shd w:fill="auto" w:val="clear"/>
        <w:vertAlign w:val="baseline"/>
        <w:rtl w:val="0"/>
      </w:rPr>
      <w:t xml:space="preserve">This rubric was developed by TNTP and adapted by Hendy Avenue Consulting for use by DREAM Charter School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100" w:before="0" w:line="252.00000000000003"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1132198" cy="3381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2198" cy="3381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Arial Narrow" w:cs="Arial Narrow" w:eastAsia="Arial Narrow" w:hAnsi="Arial Narrow"/>
      <w:color w:val="2788bc"/>
      <w:sz w:val="32"/>
      <w:szCs w:val="32"/>
    </w:rPr>
  </w:style>
  <w:style w:type="paragraph" w:styleId="Heading2">
    <w:name w:val="heading 2"/>
    <w:basedOn w:val="Normal"/>
    <w:next w:val="Normal"/>
    <w:pPr>
      <w:spacing w:before="120" w:lineRule="auto"/>
      <w:ind w:left="0"/>
    </w:pPr>
    <w:rPr>
      <w:color w:val="2788bc"/>
      <w:sz w:val="22"/>
      <w:szCs w:val="22"/>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youtube.com/watch?v=31xt92SYmuI" TargetMode="Externa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https://drive.google.com/file/d/17LiSS8Fi2vsflThjq9ivfvI68oXE8AIT/view"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www.youtube.com/watch?v=D1oxWn5UtC4" TargetMode="External"/><Relationship Id="rId1" Type="http://schemas.openxmlformats.org/officeDocument/2006/relationships/theme" Target="theme/theme1.xml"/><Relationship Id="rId6" Type="http://schemas.openxmlformats.org/officeDocument/2006/relationships/hyperlink" Target="https://www.youtube.com/watch?v=3CfdFmJT1i4&amp;feature=youtu.be" TargetMode="Externa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s://drive.google.com/a/wearedream.org/file/d/1Daf03JONCq46UbQvlzdm0r0CIk2rkhxB/view?usp=sharing" TargetMode="External"/><Relationship Id="rId4" Type="http://schemas.openxmlformats.org/officeDocument/2006/relationships/numbering" Target="numbering.xml"/><Relationship Id="rId9" Type="http://schemas.openxmlformats.org/officeDocument/2006/relationships/hyperlink" Target="https://drive.google.com/file/d/1guRZIUkveeK8xxm0uia_wzOx9onXzb01/view?usp=sharing" TargetMode="Externa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EB9BF7-F14D-477C-95B5-BB28C649B097}"/>
</file>

<file path=customXml/itemProps2.xml><?xml version="1.0" encoding="utf-8"?>
<ds:datastoreItem xmlns:ds="http://schemas.openxmlformats.org/officeDocument/2006/customXml" ds:itemID="{D1A62127-DE47-42CA-8B0A-1D45FAD2AE2B}"/>
</file>

<file path=customXml/itemProps3.xml><?xml version="1.0" encoding="utf-8"?>
<ds:datastoreItem xmlns:ds="http://schemas.openxmlformats.org/officeDocument/2006/customXml" ds:itemID="{D4A87756-902D-4476-8BD7-FC235838960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