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856B7" w14:textId="77777777" w:rsidR="00B46927" w:rsidRDefault="00B46927" w:rsidP="00B46927">
      <w:pPr>
        <w:pStyle w:val="Heading2"/>
      </w:pPr>
      <w:r w:rsidRPr="00B46927">
        <w:t>Documentation of Evidence Form for Alternate Assessment Eligibility</w:t>
      </w:r>
    </w:p>
    <w:p w14:paraId="2BE36108" w14:textId="77777777" w:rsidR="00B46927" w:rsidRDefault="00B46927" w:rsidP="00B46927">
      <w:pPr>
        <w:ind w:left="-720" w:right="-810"/>
        <w:rPr>
          <w:b/>
          <w:bCs/>
          <w:sz w:val="20"/>
        </w:rPr>
      </w:pPr>
    </w:p>
    <w:p w14:paraId="4D0E2C5F" w14:textId="3951948C" w:rsidR="00B46927" w:rsidRPr="00B46927" w:rsidRDefault="00B46927" w:rsidP="00B46927">
      <w:pPr>
        <w:ind w:left="-720" w:right="-810"/>
        <w:rPr>
          <w:b/>
          <w:sz w:val="20"/>
        </w:rPr>
      </w:pPr>
      <w:r w:rsidRPr="00B46927">
        <w:rPr>
          <w:b/>
          <w:bCs/>
          <w:sz w:val="20"/>
        </w:rPr>
        <w:t xml:space="preserve">Directions: </w:t>
      </w:r>
      <w:r w:rsidRPr="00B46927">
        <w:rPr>
          <w:sz w:val="20"/>
        </w:rPr>
        <w:t xml:space="preserve">Please include this form along with the eligibility form, in the student’s IEP. This worksheet is designed to help IEP Teams evaluate evidence to make accurate eligibility decisions. While none of the evidence listed below is required, it would be difficult to make a defensible eligibility determination without it. Please ensure that any additional evidence used is </w:t>
      </w:r>
      <w:r w:rsidRPr="00B46927">
        <w:rPr>
          <w:b/>
          <w:bCs/>
          <w:sz w:val="20"/>
        </w:rPr>
        <w:t>not included</w:t>
      </w:r>
      <w:r w:rsidR="0086468A">
        <w:rPr>
          <w:sz w:val="20"/>
        </w:rPr>
        <w:t xml:space="preserve"> on List 2 (page 11</w:t>
      </w:r>
      <w:r w:rsidRPr="00B46927">
        <w:rPr>
          <w:sz w:val="20"/>
        </w:rPr>
        <w:t xml:space="preserve">). </w:t>
      </w:r>
      <w:r w:rsidRPr="00B46927">
        <w:rPr>
          <w:b/>
          <w:bCs/>
          <w:sz w:val="20"/>
        </w:rPr>
        <w:t xml:space="preserve">This worksheet can be downloaded in a Word version from </w:t>
      </w:r>
      <w:hyperlink r:id="rId8" w:history="1">
        <w:r w:rsidR="0086468A">
          <w:rPr>
            <w:rStyle w:val="Hyperlink"/>
            <w:b/>
            <w:bCs/>
            <w:sz w:val="20"/>
          </w:rPr>
          <w:t>http://www.ride.ri.gov/dlm</w:t>
        </w:r>
      </w:hyperlink>
    </w:p>
    <w:p w14:paraId="33C928C1" w14:textId="77777777" w:rsidR="00B46927" w:rsidRPr="00B46927" w:rsidRDefault="00B46927" w:rsidP="00B46927"/>
    <w:tbl>
      <w:tblPr>
        <w:tblW w:w="10826" w:type="dxa"/>
        <w:tblInd w:w="-715" w:type="dxa"/>
        <w:tblLayout w:type="fixed"/>
        <w:tblCellMar>
          <w:left w:w="0" w:type="dxa"/>
          <w:right w:w="0" w:type="dxa"/>
        </w:tblCellMar>
        <w:tblLook w:val="01E0" w:firstRow="1" w:lastRow="1" w:firstColumn="1" w:lastColumn="1" w:noHBand="0" w:noVBand="0"/>
      </w:tblPr>
      <w:tblGrid>
        <w:gridCol w:w="10826"/>
      </w:tblGrid>
      <w:tr w:rsidR="00B46927" w:rsidRPr="00B46927" w14:paraId="510C0E77" w14:textId="77777777" w:rsidTr="00B46927">
        <w:trPr>
          <w:trHeight w:val="2060"/>
        </w:trPr>
        <w:tc>
          <w:tcPr>
            <w:tcW w:w="10826" w:type="dxa"/>
            <w:tcBorders>
              <w:top w:val="single" w:sz="4" w:space="0" w:color="000000" w:themeColor="text1"/>
              <w:left w:val="single" w:sz="4" w:space="0" w:color="000000" w:themeColor="text1"/>
              <w:right w:val="single" w:sz="4" w:space="0" w:color="000000" w:themeColor="text1"/>
            </w:tcBorders>
            <w:shd w:val="clear" w:color="auto" w:fill="FBE4D5" w:themeFill="accent2" w:themeFillTint="33"/>
          </w:tcPr>
          <w:p w14:paraId="472D51B3" w14:textId="77777777" w:rsidR="00B46927" w:rsidRPr="00B46927" w:rsidRDefault="00B46927" w:rsidP="00B46927">
            <w:pPr>
              <w:spacing w:before="40" w:after="40"/>
              <w:ind w:left="144" w:right="144"/>
              <w:rPr>
                <w:b/>
                <w:bCs/>
                <w:sz w:val="20"/>
              </w:rPr>
            </w:pPr>
            <w:r w:rsidRPr="00B46927">
              <w:rPr>
                <w:b/>
                <w:bCs/>
                <w:sz w:val="20"/>
              </w:rPr>
              <w:t>CRITERIA 1. Student has a disability that significantly impacts cognitive function and adaptive behavior.</w:t>
            </w:r>
          </w:p>
          <w:p w14:paraId="30A414D9" w14:textId="77777777" w:rsidR="00B46927" w:rsidRPr="00B46927" w:rsidRDefault="00B46927" w:rsidP="00B46927">
            <w:pPr>
              <w:spacing w:before="40" w:after="40"/>
              <w:ind w:left="144" w:right="144"/>
              <w:rPr>
                <w:b/>
                <w:sz w:val="20"/>
              </w:rPr>
            </w:pPr>
            <w:r w:rsidRPr="00B46927">
              <w:rPr>
                <w:b/>
                <w:sz w:val="20"/>
              </w:rPr>
              <w:t>EVIDENCE:</w:t>
            </w:r>
          </w:p>
          <w:p w14:paraId="21C093FD" w14:textId="77777777" w:rsidR="00B46927" w:rsidRPr="00B46927" w:rsidRDefault="00B46927" w:rsidP="00B46927">
            <w:pPr>
              <w:numPr>
                <w:ilvl w:val="0"/>
                <w:numId w:val="6"/>
              </w:numPr>
              <w:spacing w:before="40" w:after="40"/>
              <w:ind w:left="144" w:right="144"/>
              <w:rPr>
                <w:sz w:val="20"/>
              </w:rPr>
            </w:pPr>
            <w:r w:rsidRPr="00B46927">
              <w:rPr>
                <w:sz w:val="20"/>
              </w:rPr>
              <w:t>Results of Individual Cognitive Ability Test*</w:t>
            </w:r>
          </w:p>
          <w:p w14:paraId="73FA0B80" w14:textId="77777777" w:rsidR="00B46927" w:rsidRPr="00B46927" w:rsidRDefault="00B46927" w:rsidP="00B46927">
            <w:pPr>
              <w:numPr>
                <w:ilvl w:val="0"/>
                <w:numId w:val="6"/>
              </w:numPr>
              <w:spacing w:before="40" w:after="40"/>
              <w:ind w:left="144" w:right="144"/>
              <w:rPr>
                <w:sz w:val="20"/>
              </w:rPr>
            </w:pPr>
            <w:r w:rsidRPr="00B46927">
              <w:rPr>
                <w:sz w:val="20"/>
              </w:rPr>
              <w:t>Results of Adaptive Behavior Skills Assessment*</w:t>
            </w:r>
          </w:p>
          <w:p w14:paraId="5A982F59" w14:textId="77777777" w:rsidR="00B46927" w:rsidRPr="00B46927" w:rsidRDefault="00B46927" w:rsidP="00B46927">
            <w:pPr>
              <w:numPr>
                <w:ilvl w:val="0"/>
                <w:numId w:val="6"/>
              </w:numPr>
              <w:spacing w:before="40" w:after="40"/>
              <w:ind w:left="144" w:right="144"/>
              <w:rPr>
                <w:sz w:val="20"/>
              </w:rPr>
            </w:pPr>
            <w:r w:rsidRPr="00B46927">
              <w:rPr>
                <w:sz w:val="20"/>
              </w:rPr>
              <w:t>Results of informal assessments</w:t>
            </w:r>
          </w:p>
          <w:p w14:paraId="1B5D614B" w14:textId="77777777" w:rsidR="00B46927" w:rsidRPr="00B46927" w:rsidRDefault="00B46927" w:rsidP="00B46927">
            <w:pPr>
              <w:numPr>
                <w:ilvl w:val="0"/>
                <w:numId w:val="6"/>
              </w:numPr>
              <w:spacing w:before="40" w:after="40"/>
              <w:ind w:left="144" w:right="144"/>
              <w:rPr>
                <w:sz w:val="20"/>
              </w:rPr>
            </w:pPr>
            <w:r w:rsidRPr="00B46927">
              <w:rPr>
                <w:sz w:val="20"/>
              </w:rPr>
              <w:t>Results of speech/augmentative communication evaluations (can the student communicate in an age-appropriate way that demonstrates their ability to stay safe and take care of themselves effectively?)*</w:t>
            </w:r>
          </w:p>
          <w:p w14:paraId="686A4CAA" w14:textId="77777777" w:rsidR="00B46927" w:rsidRPr="00B46927" w:rsidRDefault="00B46927" w:rsidP="00B46927">
            <w:pPr>
              <w:numPr>
                <w:ilvl w:val="0"/>
                <w:numId w:val="6"/>
              </w:numPr>
              <w:spacing w:before="40" w:after="40"/>
              <w:ind w:left="144" w:right="144"/>
              <w:rPr>
                <w:b/>
                <w:bCs/>
                <w:sz w:val="20"/>
              </w:rPr>
            </w:pPr>
            <w:r w:rsidRPr="00B46927">
              <w:rPr>
                <w:sz w:val="20"/>
              </w:rPr>
              <w:t>OTHER:</w:t>
            </w:r>
          </w:p>
        </w:tc>
      </w:tr>
      <w:tr w:rsidR="00B46927" w:rsidRPr="00B46927" w14:paraId="01910BF6" w14:textId="77777777" w:rsidTr="00B46927">
        <w:trPr>
          <w:trHeight w:val="1403"/>
        </w:trPr>
        <w:tc>
          <w:tcPr>
            <w:tcW w:w="10826" w:type="dxa"/>
            <w:tcBorders>
              <w:top w:val="single" w:sz="4" w:space="0" w:color="000000" w:themeColor="text1"/>
              <w:left w:val="single" w:sz="4" w:space="0" w:color="000000" w:themeColor="text1"/>
              <w:right w:val="single" w:sz="4" w:space="0" w:color="000000" w:themeColor="text1"/>
            </w:tcBorders>
          </w:tcPr>
          <w:p w14:paraId="5693DCF8" w14:textId="77777777" w:rsidR="00B46927" w:rsidRPr="00B46927" w:rsidRDefault="00B46927" w:rsidP="00B46927">
            <w:pPr>
              <w:spacing w:before="40" w:after="40"/>
              <w:ind w:left="144" w:right="144"/>
              <w:rPr>
                <w:sz w:val="20"/>
              </w:rPr>
            </w:pPr>
            <w:r w:rsidRPr="00B46927">
              <w:rPr>
                <w:b/>
                <w:bCs/>
                <w:sz w:val="20"/>
              </w:rPr>
              <w:t xml:space="preserve">DIRECTIONS: Evidence with asterisks (*) will provide the strongest evidence toward making an eligibility decision. However, you can use additional evidence to support the eligibility decision (List 1 on page 10). </w:t>
            </w:r>
            <w:r w:rsidRPr="00B46927">
              <w:rPr>
                <w:sz w:val="20"/>
              </w:rPr>
              <w:t xml:space="preserve">For each piece of evidence with an asterisk, describe how the evidence shows that the student’s disability, or disabilities, impact their cognitive function and adaptive behavior. </w:t>
            </w:r>
          </w:p>
        </w:tc>
      </w:tr>
      <w:tr w:rsidR="00B46927" w:rsidRPr="00B46927" w14:paraId="60EEDA9A" w14:textId="77777777" w:rsidTr="00B46927">
        <w:trPr>
          <w:trHeight w:val="1610"/>
        </w:trPr>
        <w:tc>
          <w:tcPr>
            <w:tcW w:w="10826" w:type="dxa"/>
            <w:tcBorders>
              <w:top w:val="single" w:sz="4" w:space="0" w:color="000000" w:themeColor="text1"/>
              <w:left w:val="single" w:sz="4" w:space="0" w:color="000000" w:themeColor="text1"/>
              <w:right w:val="single" w:sz="4" w:space="0" w:color="000000" w:themeColor="text1"/>
            </w:tcBorders>
            <w:shd w:val="clear" w:color="auto" w:fill="FBE4D5" w:themeFill="accent2" w:themeFillTint="33"/>
          </w:tcPr>
          <w:p w14:paraId="34848521" w14:textId="77777777" w:rsidR="00B46927" w:rsidRPr="00B46927" w:rsidRDefault="00B46927" w:rsidP="00B46927">
            <w:pPr>
              <w:spacing w:before="40" w:after="40"/>
              <w:ind w:left="144" w:right="144"/>
              <w:rPr>
                <w:sz w:val="20"/>
              </w:rPr>
            </w:pPr>
            <w:r w:rsidRPr="00B46927">
              <w:rPr>
                <w:b/>
                <w:bCs/>
                <w:sz w:val="20"/>
              </w:rPr>
              <w:t>CRITERIA 2</w:t>
            </w:r>
            <w:r w:rsidRPr="00B46927">
              <w:rPr>
                <w:bCs/>
                <w:sz w:val="20"/>
              </w:rPr>
              <w:t>.</w:t>
            </w:r>
            <w:r w:rsidRPr="00B46927">
              <w:rPr>
                <w:b/>
                <w:bCs/>
                <w:sz w:val="20"/>
              </w:rPr>
              <w:t xml:space="preserve"> </w:t>
            </w:r>
            <w:r w:rsidRPr="00B46927">
              <w:rPr>
                <w:bCs/>
                <w:sz w:val="20"/>
              </w:rPr>
              <w:t xml:space="preserve">As documented in the IEP, the student’s present levels of academic achievement indicate their ability to make progress through the alternate achievement standards (EEs) </w:t>
            </w:r>
            <w:r w:rsidRPr="00B46927">
              <w:rPr>
                <w:bCs/>
                <w:i/>
                <w:sz w:val="20"/>
              </w:rPr>
              <w:t>and</w:t>
            </w:r>
            <w:r w:rsidRPr="00B46927">
              <w:rPr>
                <w:bCs/>
                <w:sz w:val="20"/>
              </w:rPr>
              <w:t xml:space="preserve"> the short term objectives include skills and concepts reflected in the steps found in the alternate achievement standard (EEs) learning maps, </w:t>
            </w:r>
            <w:r w:rsidRPr="00B46927">
              <w:rPr>
                <w:bCs/>
                <w:i/>
                <w:sz w:val="20"/>
              </w:rPr>
              <w:t xml:space="preserve">and </w:t>
            </w:r>
            <w:r w:rsidRPr="00B46927">
              <w:rPr>
                <w:bCs/>
                <w:sz w:val="20"/>
              </w:rPr>
              <w:t>the annual academic goals are closely aligned to grade-level alternate achievement standards.</w:t>
            </w:r>
          </w:p>
          <w:p w14:paraId="5AF415A2" w14:textId="77777777" w:rsidR="00B46927" w:rsidRPr="00B46927" w:rsidRDefault="00B46927" w:rsidP="00B46927">
            <w:pPr>
              <w:spacing w:before="40" w:after="40"/>
              <w:ind w:left="144" w:right="144"/>
              <w:rPr>
                <w:sz w:val="20"/>
              </w:rPr>
            </w:pPr>
            <w:r w:rsidRPr="00B46927">
              <w:rPr>
                <w:b/>
                <w:bCs/>
                <w:sz w:val="20"/>
              </w:rPr>
              <w:t>EVIDENCE:</w:t>
            </w:r>
            <w:r w:rsidRPr="00B46927">
              <w:rPr>
                <w:sz w:val="20"/>
              </w:rPr>
              <w:t xml:space="preserve"> Present levels of academic and functional performance, goals and objectives from current and past IEPs and the Essential Elements, and examples of student work. </w:t>
            </w:r>
          </w:p>
        </w:tc>
      </w:tr>
      <w:tr w:rsidR="00B46927" w:rsidRPr="00B46927" w14:paraId="68CC668E" w14:textId="77777777" w:rsidTr="00B46927">
        <w:trPr>
          <w:trHeight w:val="1070"/>
        </w:trPr>
        <w:tc>
          <w:tcPr>
            <w:tcW w:w="10826" w:type="dxa"/>
            <w:tcBorders>
              <w:top w:val="single" w:sz="4" w:space="0" w:color="000000" w:themeColor="text1"/>
              <w:left w:val="single" w:sz="4" w:space="0" w:color="000000" w:themeColor="text1"/>
              <w:right w:val="single" w:sz="4" w:space="0" w:color="000000" w:themeColor="text1"/>
            </w:tcBorders>
          </w:tcPr>
          <w:p w14:paraId="464539EF" w14:textId="15AF4E0D" w:rsidR="00B46927" w:rsidRPr="00B46927" w:rsidRDefault="00B46927" w:rsidP="0086468A">
            <w:pPr>
              <w:spacing w:before="40" w:after="40"/>
              <w:ind w:left="144" w:right="144"/>
              <w:rPr>
                <w:sz w:val="20"/>
                <w:u w:val="single"/>
              </w:rPr>
            </w:pPr>
            <w:r w:rsidRPr="00B46927">
              <w:rPr>
                <w:b/>
                <w:bCs/>
                <w:sz w:val="20"/>
              </w:rPr>
              <w:t>DIRECTIONS:</w:t>
            </w:r>
            <w:r w:rsidRPr="00B46927">
              <w:rPr>
                <w:sz w:val="20"/>
              </w:rPr>
              <w:t xml:space="preserve"> List the present levels of academic and functional performance and the Essential Elements and/or learning map steps they most closely align to. Essential Elements and learning map documents can be found at </w:t>
            </w:r>
            <w:hyperlink r:id="rId9" w:history="1">
              <w:r w:rsidR="0086468A" w:rsidRPr="00D14A91">
                <w:rPr>
                  <w:rStyle w:val="Hyperlink"/>
                  <w:sz w:val="20"/>
                </w:rPr>
                <w:t>www.rid</w:t>
              </w:r>
              <w:bookmarkStart w:id="0" w:name="_GoBack"/>
              <w:bookmarkEnd w:id="0"/>
              <w:r w:rsidR="0086468A" w:rsidRPr="00D14A91">
                <w:rPr>
                  <w:rStyle w:val="Hyperlink"/>
                  <w:sz w:val="20"/>
                </w:rPr>
                <w:t>e</w:t>
              </w:r>
              <w:r w:rsidR="0086468A" w:rsidRPr="00D14A91">
                <w:rPr>
                  <w:rStyle w:val="Hyperlink"/>
                  <w:sz w:val="20"/>
                </w:rPr>
                <w:t>.ri.gov/dlm</w:t>
              </w:r>
            </w:hyperlink>
            <w:r w:rsidR="0086468A">
              <w:rPr>
                <w:rStyle w:val="Hyperlink"/>
              </w:rPr>
              <w:t xml:space="preserve">. </w:t>
            </w:r>
          </w:p>
        </w:tc>
      </w:tr>
      <w:tr w:rsidR="00B46927" w:rsidRPr="00B46927" w14:paraId="60C6F3BD" w14:textId="77777777" w:rsidTr="003C264F">
        <w:trPr>
          <w:trHeight w:val="3032"/>
        </w:trPr>
        <w:tc>
          <w:tcPr>
            <w:tcW w:w="10826" w:type="dxa"/>
            <w:tcBorders>
              <w:top w:val="single" w:sz="4" w:space="0" w:color="000000" w:themeColor="text1"/>
              <w:left w:val="single" w:sz="4" w:space="0" w:color="000000" w:themeColor="text1"/>
              <w:right w:val="single" w:sz="4" w:space="0" w:color="000000" w:themeColor="text1"/>
            </w:tcBorders>
            <w:shd w:val="clear" w:color="auto" w:fill="FBE4D5" w:themeFill="accent2" w:themeFillTint="33"/>
          </w:tcPr>
          <w:p w14:paraId="04874289" w14:textId="77777777" w:rsidR="00B46927" w:rsidRPr="00B46927" w:rsidRDefault="00B46927" w:rsidP="00B46927">
            <w:pPr>
              <w:spacing w:before="40" w:after="40"/>
              <w:ind w:left="144" w:right="144"/>
              <w:rPr>
                <w:bCs/>
                <w:sz w:val="20"/>
              </w:rPr>
            </w:pPr>
            <w:r w:rsidRPr="00B46927">
              <w:rPr>
                <w:b/>
                <w:bCs/>
                <w:sz w:val="20"/>
              </w:rPr>
              <w:t xml:space="preserve">CRITERIA 3. </w:t>
            </w:r>
            <w:r w:rsidRPr="00B46927">
              <w:rPr>
                <w:bCs/>
                <w:sz w:val="20"/>
              </w:rPr>
              <w:t>The student is unable to apply academic, life, and job skills in home, school, and community without intensive, frequent, and individualized instruction and supports in multiple settings.</w:t>
            </w:r>
          </w:p>
          <w:p w14:paraId="5410394A" w14:textId="77777777" w:rsidR="00B46927" w:rsidRPr="00B46927" w:rsidRDefault="00B46927" w:rsidP="00B46927">
            <w:pPr>
              <w:spacing w:before="40" w:after="40"/>
              <w:ind w:left="144" w:right="144"/>
              <w:rPr>
                <w:b/>
                <w:sz w:val="20"/>
              </w:rPr>
            </w:pPr>
            <w:r w:rsidRPr="00B46927">
              <w:rPr>
                <w:b/>
                <w:sz w:val="20"/>
              </w:rPr>
              <w:t xml:space="preserve">EVIDENCE: </w:t>
            </w:r>
          </w:p>
          <w:p w14:paraId="0D72BC94" w14:textId="77777777" w:rsidR="00B46927" w:rsidRPr="00B46927" w:rsidRDefault="00B46927" w:rsidP="00B46927">
            <w:pPr>
              <w:numPr>
                <w:ilvl w:val="0"/>
                <w:numId w:val="5"/>
              </w:numPr>
              <w:spacing w:before="40" w:after="40"/>
              <w:ind w:left="144" w:right="144"/>
              <w:rPr>
                <w:sz w:val="20"/>
              </w:rPr>
            </w:pPr>
            <w:r w:rsidRPr="00B46927">
              <w:rPr>
                <w:sz w:val="20"/>
              </w:rPr>
              <w:t>Parent and guardian observations of the student in settings outside of school.*</w:t>
            </w:r>
          </w:p>
          <w:p w14:paraId="05B93470" w14:textId="77777777" w:rsidR="00B46927" w:rsidRPr="00B46927" w:rsidRDefault="00B46927" w:rsidP="00B46927">
            <w:pPr>
              <w:numPr>
                <w:ilvl w:val="0"/>
                <w:numId w:val="5"/>
              </w:numPr>
              <w:spacing w:before="40" w:after="40"/>
              <w:ind w:left="144" w:right="144"/>
              <w:rPr>
                <w:sz w:val="20"/>
              </w:rPr>
            </w:pPr>
            <w:r w:rsidRPr="00B46927">
              <w:rPr>
                <w:sz w:val="20"/>
              </w:rPr>
              <w:t xml:space="preserve">Examples of work samples from school in life skills, reading, mathematics, science, writing, etc.* </w:t>
            </w:r>
          </w:p>
          <w:p w14:paraId="2D1D68C8" w14:textId="77777777" w:rsidR="00B46927" w:rsidRPr="00B46927" w:rsidRDefault="00B46927" w:rsidP="00B46927">
            <w:pPr>
              <w:numPr>
                <w:ilvl w:val="0"/>
                <w:numId w:val="5"/>
              </w:numPr>
              <w:spacing w:before="40" w:after="40"/>
              <w:ind w:left="144" w:right="144"/>
              <w:rPr>
                <w:sz w:val="20"/>
              </w:rPr>
            </w:pPr>
            <w:r w:rsidRPr="00B46927">
              <w:rPr>
                <w:sz w:val="20"/>
              </w:rPr>
              <w:t>Descriptions of community-based instruction (example: home-based therapy services).*</w:t>
            </w:r>
          </w:p>
          <w:p w14:paraId="5C498E0E" w14:textId="77777777" w:rsidR="00B46927" w:rsidRPr="00B46927" w:rsidRDefault="00B46927" w:rsidP="00B46927">
            <w:pPr>
              <w:numPr>
                <w:ilvl w:val="0"/>
                <w:numId w:val="5"/>
              </w:numPr>
              <w:spacing w:before="40" w:after="40"/>
              <w:ind w:left="144" w:right="144"/>
              <w:rPr>
                <w:sz w:val="20"/>
              </w:rPr>
            </w:pPr>
            <w:r w:rsidRPr="00B46927">
              <w:rPr>
                <w:sz w:val="20"/>
              </w:rPr>
              <w:t xml:space="preserve">Career Development Plan (CDP) or Person-Centered Planning.* </w:t>
            </w:r>
            <w:r w:rsidRPr="00B46927">
              <w:rPr>
                <w:i/>
                <w:iCs/>
                <w:sz w:val="20"/>
              </w:rPr>
              <w:t>(As applicable, if the student is age 14 or older).</w:t>
            </w:r>
          </w:p>
          <w:p w14:paraId="0CDBA148" w14:textId="77777777" w:rsidR="00B46927" w:rsidRPr="00B46927" w:rsidRDefault="00B46927" w:rsidP="00B46927">
            <w:pPr>
              <w:numPr>
                <w:ilvl w:val="0"/>
                <w:numId w:val="5"/>
              </w:numPr>
              <w:spacing w:before="40" w:after="40"/>
              <w:ind w:left="144" w:right="144"/>
              <w:rPr>
                <w:sz w:val="20"/>
              </w:rPr>
            </w:pPr>
            <w:r w:rsidRPr="00B46927">
              <w:rPr>
                <w:sz w:val="20"/>
              </w:rPr>
              <w:t>OTHER:</w:t>
            </w:r>
          </w:p>
        </w:tc>
      </w:tr>
      <w:tr w:rsidR="00B46927" w:rsidRPr="00B46927" w14:paraId="40A8E221" w14:textId="77777777" w:rsidTr="00B46927">
        <w:trPr>
          <w:trHeight w:val="1988"/>
        </w:trPr>
        <w:tc>
          <w:tcPr>
            <w:tcW w:w="10826" w:type="dxa"/>
            <w:tcBorders>
              <w:top w:val="single" w:sz="4" w:space="0" w:color="000000" w:themeColor="text1"/>
              <w:left w:val="single" w:sz="4" w:space="0" w:color="000000" w:themeColor="text1"/>
              <w:bottom w:val="single" w:sz="4" w:space="0" w:color="auto"/>
              <w:right w:val="single" w:sz="4" w:space="0" w:color="000000" w:themeColor="text1"/>
            </w:tcBorders>
          </w:tcPr>
          <w:p w14:paraId="4B81766C" w14:textId="77777777" w:rsidR="00B46927" w:rsidRPr="00B46927" w:rsidRDefault="00B46927" w:rsidP="00B46927">
            <w:pPr>
              <w:spacing w:before="40" w:after="40"/>
              <w:ind w:left="144" w:right="144"/>
              <w:rPr>
                <w:sz w:val="20"/>
              </w:rPr>
            </w:pPr>
            <w:r w:rsidRPr="00B46927">
              <w:rPr>
                <w:b/>
                <w:bCs/>
                <w:sz w:val="20"/>
              </w:rPr>
              <w:t xml:space="preserve">DIRECTIONS: Evidence with asterisks (*) will provide the strongest evidence toward making an eligibility decision. However, you can use additional evidence to support the eligibility decision (List 1 on page 10). </w:t>
            </w:r>
            <w:r w:rsidRPr="00B46927">
              <w:rPr>
                <w:sz w:val="20"/>
              </w:rPr>
              <w:t xml:space="preserve">For each piece of evidence, describe how the evidence shows the student’s ability to apply academic and life skills and concepts in the home, school, and community. </w:t>
            </w:r>
          </w:p>
        </w:tc>
      </w:tr>
    </w:tbl>
    <w:p w14:paraId="29F7DE1D" w14:textId="77777777" w:rsidR="00B50348" w:rsidRDefault="00B50348"/>
    <w:sectPr w:rsidR="00B50348" w:rsidSect="00B4692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49DA"/>
    <w:multiLevelType w:val="multilevel"/>
    <w:tmpl w:val="91AAA52A"/>
    <w:lvl w:ilvl="0">
      <w:start w:val="1"/>
      <w:numFmt w:val="upperRoman"/>
      <w:suff w:val="space"/>
      <w:lvlText w:val="Section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7140CB"/>
    <w:multiLevelType w:val="hybridMultilevel"/>
    <w:tmpl w:val="BFC6B1EE"/>
    <w:lvl w:ilvl="0" w:tplc="D326FCD4">
      <w:start w:val="1"/>
      <w:numFmt w:val="bullet"/>
      <w:lvlText w:val=""/>
      <w:lvlJc w:val="left"/>
      <w:pPr>
        <w:ind w:left="1395" w:hanging="360"/>
      </w:pPr>
      <w:rPr>
        <w:rFonts w:ascii="Wingdings" w:hAnsi="Wingdings"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 w15:restartNumberingAfterBreak="0">
    <w:nsid w:val="4AC35996"/>
    <w:multiLevelType w:val="multilevel"/>
    <w:tmpl w:val="2B78E5B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647809"/>
    <w:multiLevelType w:val="hybridMultilevel"/>
    <w:tmpl w:val="AC12DFCC"/>
    <w:lvl w:ilvl="0" w:tplc="D326FCD4">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15:restartNumberingAfterBreak="0">
    <w:nsid w:val="5D0720EE"/>
    <w:multiLevelType w:val="hybridMultilevel"/>
    <w:tmpl w:val="37F89ECE"/>
    <w:lvl w:ilvl="0" w:tplc="EF08CAE8">
      <w:start w:val="1"/>
      <w:numFmt w:val="upperLetter"/>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upperRoman"/>
        <w:suff w:val="space"/>
        <w:lvlText w:val="Section %1."/>
        <w:lvlJc w:val="left"/>
        <w:pPr>
          <w:ind w:left="0" w:firstLine="0"/>
        </w:pPr>
        <w:rPr>
          <w:rFonts w:hint="default"/>
        </w:rPr>
      </w:lvl>
    </w:lvlOverride>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27"/>
    <w:rsid w:val="002C054B"/>
    <w:rsid w:val="0086468A"/>
    <w:rsid w:val="00B46927"/>
    <w:rsid w:val="00B50348"/>
    <w:rsid w:val="00B55916"/>
    <w:rsid w:val="00C8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C1C0"/>
  <w15:chartTrackingRefBased/>
  <w15:docId w15:val="{27681E28-8F90-4BBD-899F-9C4AF946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738"/>
    <w:pPr>
      <w:spacing w:after="0" w:line="240" w:lineRule="auto"/>
    </w:pPr>
    <w:rPr>
      <w:rFonts w:cs="Times New Roman"/>
      <w:szCs w:val="24"/>
    </w:rPr>
  </w:style>
  <w:style w:type="paragraph" w:styleId="Heading1">
    <w:name w:val="heading 1"/>
    <w:basedOn w:val="Normal"/>
    <w:next w:val="Normal"/>
    <w:link w:val="Heading1Char"/>
    <w:autoRedefine/>
    <w:uiPriority w:val="9"/>
    <w:qFormat/>
    <w:rsid w:val="002C054B"/>
    <w:pPr>
      <w:keepNext/>
      <w:pageBreakBefore/>
      <w:numPr>
        <w:numId w:val="3"/>
      </w:numPr>
      <w:spacing w:before="360" w:after="120"/>
      <w:outlineLvl w:val="0"/>
    </w:pPr>
    <w:rPr>
      <w:rFonts w:ascii="Calibri" w:eastAsiaTheme="majorEastAsia" w:hAnsi="Calibri" w:cstheme="majorBidi"/>
      <w:b/>
      <w:bCs/>
      <w:sz w:val="36"/>
      <w:szCs w:val="28"/>
    </w:rPr>
  </w:style>
  <w:style w:type="paragraph" w:styleId="Heading2">
    <w:name w:val="heading 2"/>
    <w:basedOn w:val="Normal"/>
    <w:next w:val="Normal"/>
    <w:link w:val="Heading2Char"/>
    <w:autoRedefine/>
    <w:uiPriority w:val="9"/>
    <w:unhideWhenUsed/>
    <w:qFormat/>
    <w:rsid w:val="00B46927"/>
    <w:pPr>
      <w:keepNext/>
      <w:tabs>
        <w:tab w:val="num" w:pos="720"/>
      </w:tabs>
      <w:spacing w:before="240"/>
      <w:ind w:left="360" w:right="-634" w:hanging="360"/>
      <w:jc w:val="center"/>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B55916"/>
    <w:pPr>
      <w:pBdr>
        <w:top w:val="single" w:sz="6" w:space="2" w:color="5B9BD5" w:themeColor="accent1"/>
      </w:pBdr>
      <w:spacing w:before="300"/>
      <w:outlineLvl w:val="2"/>
    </w:pPr>
    <w:rPr>
      <w:b/>
      <w:caps/>
      <w:color w:val="1F4D78" w:themeColor="accent1" w:themeShade="7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5916"/>
    <w:rPr>
      <w:b/>
      <w:caps/>
      <w:color w:val="1F4D78" w:themeColor="accent1" w:themeShade="7F"/>
      <w:spacing w:val="15"/>
    </w:rPr>
  </w:style>
  <w:style w:type="character" w:customStyle="1" w:styleId="Heading1Char">
    <w:name w:val="Heading 1 Char"/>
    <w:basedOn w:val="DefaultParagraphFont"/>
    <w:link w:val="Heading1"/>
    <w:uiPriority w:val="9"/>
    <w:rsid w:val="002C054B"/>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9"/>
    <w:rsid w:val="00B46927"/>
    <w:rPr>
      <w:rFonts w:eastAsiaTheme="majorEastAsia" w:cstheme="majorBidi"/>
      <w:b/>
      <w:bCs/>
      <w:sz w:val="28"/>
      <w:szCs w:val="26"/>
    </w:rPr>
  </w:style>
  <w:style w:type="character" w:styleId="Hyperlink">
    <w:name w:val="Hyperlink"/>
    <w:basedOn w:val="DefaultParagraphFont"/>
    <w:uiPriority w:val="99"/>
    <w:unhideWhenUsed/>
    <w:rsid w:val="00B46927"/>
    <w:rPr>
      <w:color w:val="0563C1" w:themeColor="hyperlink"/>
      <w:u w:val="single"/>
    </w:rPr>
  </w:style>
  <w:style w:type="character" w:styleId="FollowedHyperlink">
    <w:name w:val="FollowedHyperlink"/>
    <w:basedOn w:val="DefaultParagraphFont"/>
    <w:uiPriority w:val="99"/>
    <w:semiHidden/>
    <w:unhideWhenUsed/>
    <w:rsid w:val="008646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de.ri.gov/dl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ide.ri.gov/d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9" ma:contentTypeDescription="Create a new document." ma:contentTypeScope="" ma:versionID="9cbba1fcf0d322564c62a9e2ec9b30b3">
  <xsd:schema xmlns:xsd="http://www.w3.org/2001/XMLSchema" xmlns:xs="http://www.w3.org/2001/XMLSchema" xmlns:p="http://schemas.microsoft.com/office/2006/metadata/properties" xmlns:ns3="b55cc359-510e-4af2-81bb-0b240aecdefd" xmlns:ns4="23df3814-6f62-4215-ae23-4fa231a6ec59" targetNamespace="http://schemas.microsoft.com/office/2006/metadata/properties" ma:root="true" ma:fieldsID="01221158d2e05cf82d7540d1e5474776" ns3:_="" ns4:_="">
    <xsd:import namespace="b55cc359-510e-4af2-81bb-0b240aecdefd"/>
    <xsd:import namespace="23df3814-6f62-4215-ae23-4fa231a6ec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6DE86-2F33-45D6-A10F-93ED38AC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cc359-510e-4af2-81bb-0b240aecdefd"/>
    <ds:schemaRef ds:uri="23df3814-6f62-4215-ae23-4fa231a6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D1BA5-EDF9-4C8C-ABA1-4B5F275F0A10}">
  <ds:schemaRefs>
    <ds:schemaRef ds:uri="http://schemas.microsoft.com/sharepoint/v3/contenttype/forms"/>
  </ds:schemaRefs>
</ds:datastoreItem>
</file>

<file path=customXml/itemProps3.xml><?xml version="1.0" encoding="utf-8"?>
<ds:datastoreItem xmlns:ds="http://schemas.openxmlformats.org/officeDocument/2006/customXml" ds:itemID="{1982A675-327D-4B2D-A3C0-30FB04EF5926}">
  <ds:schemaRefs>
    <ds:schemaRef ds:uri="23df3814-6f62-4215-ae23-4fa231a6ec59"/>
    <ds:schemaRef ds:uri="http://purl.org/dc/terms/"/>
    <ds:schemaRef ds:uri="http://schemas.microsoft.com/office/2006/documentManagement/types"/>
    <ds:schemaRef ds:uri="b55cc359-510e-4af2-81bb-0b240aecdefd"/>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RIDE</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Heineke, Heather</dc:creator>
  <cp:keywords/>
  <dc:description/>
  <cp:lastModifiedBy>Heineke, Heather</cp:lastModifiedBy>
  <cp:revision>2</cp:revision>
  <dcterms:created xsi:type="dcterms:W3CDTF">2019-10-18T18:09:00Z</dcterms:created>
  <dcterms:modified xsi:type="dcterms:W3CDTF">2019-10-18T18:09:00Z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ies>
</file>