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380C6" w14:textId="716F53CE" w:rsidR="009047F0" w:rsidRDefault="72844C7C" w:rsidP="47862355">
      <w:pPr>
        <w:jc w:val="center"/>
        <w:rPr>
          <w:b/>
          <w:bCs/>
          <w:sz w:val="28"/>
          <w:szCs w:val="28"/>
        </w:rPr>
      </w:pPr>
      <w:r w:rsidRPr="05A74C2B">
        <w:rPr>
          <w:b/>
          <w:bCs/>
          <w:sz w:val="28"/>
          <w:szCs w:val="28"/>
        </w:rPr>
        <w:t>M</w:t>
      </w:r>
      <w:r w:rsidR="000E556C">
        <w:rPr>
          <w:b/>
          <w:bCs/>
          <w:sz w:val="28"/>
          <w:szCs w:val="28"/>
        </w:rPr>
        <w:t xml:space="preserve">ultilingual Learner (MLL) </w:t>
      </w:r>
      <w:r w:rsidR="002E003B" w:rsidRPr="05A74C2B">
        <w:rPr>
          <w:b/>
          <w:bCs/>
          <w:sz w:val="28"/>
          <w:szCs w:val="28"/>
        </w:rPr>
        <w:t>Non-Negotiables for Math</w:t>
      </w:r>
      <w:r w:rsidR="47862355" w:rsidRPr="05A74C2B">
        <w:rPr>
          <w:b/>
          <w:bCs/>
          <w:sz w:val="28"/>
          <w:szCs w:val="28"/>
        </w:rPr>
        <w:t xml:space="preserve"> Curriculum Selection</w:t>
      </w:r>
    </w:p>
    <w:p w14:paraId="7437323C" w14:textId="77777777" w:rsidR="009047F0" w:rsidRPr="00FA572F" w:rsidRDefault="009047F0" w:rsidP="009047F0">
      <w:pPr>
        <w:spacing w:after="0"/>
        <w:rPr>
          <w:sz w:val="20"/>
          <w:szCs w:val="20"/>
        </w:rPr>
      </w:pPr>
      <w:r w:rsidRPr="00FA572F">
        <w:rPr>
          <w:sz w:val="20"/>
          <w:szCs w:val="20"/>
        </w:rPr>
        <w:t xml:space="preserve">Purpose: To seek materials that: </w:t>
      </w:r>
    </w:p>
    <w:p w14:paraId="2C078E63" w14:textId="6313ED02" w:rsidR="00FF0B61" w:rsidRPr="00FA572F" w:rsidRDefault="47862355" w:rsidP="47862355">
      <w:pPr>
        <w:pStyle w:val="ListParagraph"/>
        <w:numPr>
          <w:ilvl w:val="0"/>
          <w:numId w:val="1"/>
        </w:numPr>
        <w:spacing w:after="0"/>
        <w:rPr>
          <w:sz w:val="20"/>
          <w:szCs w:val="20"/>
        </w:rPr>
      </w:pPr>
      <w:r w:rsidRPr="05A74C2B">
        <w:rPr>
          <w:sz w:val="20"/>
          <w:szCs w:val="20"/>
        </w:rPr>
        <w:t>Provi</w:t>
      </w:r>
      <w:r w:rsidR="00714C08" w:rsidRPr="05A74C2B">
        <w:rPr>
          <w:sz w:val="20"/>
          <w:szCs w:val="20"/>
        </w:rPr>
        <w:t xml:space="preserve">de </w:t>
      </w:r>
      <w:r w:rsidR="72ACC9A1" w:rsidRPr="05A74C2B">
        <w:rPr>
          <w:sz w:val="20"/>
          <w:szCs w:val="20"/>
        </w:rPr>
        <w:t>M</w:t>
      </w:r>
      <w:r w:rsidR="00714C08" w:rsidRPr="05A74C2B">
        <w:rPr>
          <w:sz w:val="20"/>
          <w:szCs w:val="20"/>
        </w:rPr>
        <w:t xml:space="preserve">LLs with the necessary opportunities for </w:t>
      </w:r>
      <w:r w:rsidRPr="05A74C2B">
        <w:rPr>
          <w:sz w:val="20"/>
          <w:szCs w:val="20"/>
        </w:rPr>
        <w:t xml:space="preserve">language development </w:t>
      </w:r>
    </w:p>
    <w:p w14:paraId="05F71E2C" w14:textId="75302ECB" w:rsidR="009047F0" w:rsidRPr="00FA572F" w:rsidRDefault="009047F0" w:rsidP="009047F0">
      <w:pPr>
        <w:pStyle w:val="ListParagraph"/>
        <w:numPr>
          <w:ilvl w:val="0"/>
          <w:numId w:val="1"/>
        </w:numPr>
        <w:spacing w:after="0"/>
        <w:rPr>
          <w:sz w:val="20"/>
          <w:szCs w:val="20"/>
        </w:rPr>
      </w:pPr>
      <w:r w:rsidRPr="05A74C2B">
        <w:rPr>
          <w:sz w:val="20"/>
          <w:szCs w:val="20"/>
        </w:rPr>
        <w:t xml:space="preserve">Provide </w:t>
      </w:r>
      <w:r w:rsidR="39FDF721" w:rsidRPr="05A74C2B">
        <w:rPr>
          <w:sz w:val="20"/>
          <w:szCs w:val="20"/>
        </w:rPr>
        <w:t>M</w:t>
      </w:r>
      <w:r w:rsidRPr="05A74C2B">
        <w:rPr>
          <w:sz w:val="20"/>
          <w:szCs w:val="20"/>
        </w:rPr>
        <w:t xml:space="preserve">LLs with full access to grade-level instructional content </w:t>
      </w:r>
    </w:p>
    <w:p w14:paraId="76483F0B" w14:textId="76B89938" w:rsidR="009047F0" w:rsidRPr="00FA572F" w:rsidRDefault="009047F0" w:rsidP="009047F0">
      <w:pPr>
        <w:pStyle w:val="ListParagraph"/>
        <w:numPr>
          <w:ilvl w:val="0"/>
          <w:numId w:val="1"/>
        </w:numPr>
        <w:spacing w:after="0"/>
        <w:rPr>
          <w:sz w:val="20"/>
          <w:szCs w:val="20"/>
        </w:rPr>
      </w:pPr>
      <w:r w:rsidRPr="05A74C2B">
        <w:rPr>
          <w:sz w:val="20"/>
          <w:szCs w:val="20"/>
        </w:rPr>
        <w:t xml:space="preserve">Integrate scaffolding for </w:t>
      </w:r>
      <w:r w:rsidR="460BC8C5" w:rsidRPr="05A74C2B">
        <w:rPr>
          <w:sz w:val="20"/>
          <w:szCs w:val="20"/>
        </w:rPr>
        <w:t>M</w:t>
      </w:r>
      <w:r w:rsidRPr="05A74C2B">
        <w:rPr>
          <w:sz w:val="20"/>
          <w:szCs w:val="20"/>
        </w:rPr>
        <w:t>LLs without compromising rigor or content</w:t>
      </w:r>
    </w:p>
    <w:p w14:paraId="555810E2" w14:textId="77777777" w:rsidR="0056159B" w:rsidRPr="00596BF8" w:rsidRDefault="0056159B" w:rsidP="0056159B">
      <w:pPr>
        <w:pStyle w:val="ListParagraph"/>
        <w:spacing w:after="0"/>
        <w:rPr>
          <w:sz w:val="20"/>
          <w:szCs w:val="20"/>
        </w:rPr>
      </w:pPr>
    </w:p>
    <w:tbl>
      <w:tblPr>
        <w:tblStyle w:val="TableGrid"/>
        <w:tblW w:w="15140" w:type="dxa"/>
        <w:tblInd w:w="-5" w:type="dxa"/>
        <w:tblLook w:val="04A0" w:firstRow="1" w:lastRow="0" w:firstColumn="1" w:lastColumn="0" w:noHBand="0" w:noVBand="1"/>
      </w:tblPr>
      <w:tblGrid>
        <w:gridCol w:w="1800"/>
        <w:gridCol w:w="5460"/>
        <w:gridCol w:w="3795"/>
        <w:gridCol w:w="4085"/>
      </w:tblGrid>
      <w:tr w:rsidR="00771711" w14:paraId="4F7FB832" w14:textId="77777777" w:rsidTr="00397F07">
        <w:tc>
          <w:tcPr>
            <w:tcW w:w="1800" w:type="dxa"/>
            <w:shd w:val="clear" w:color="auto" w:fill="D0CECE" w:themeFill="background2" w:themeFillShade="E6"/>
          </w:tcPr>
          <w:p w14:paraId="4493C532" w14:textId="165D0C0C" w:rsidR="00771711" w:rsidRPr="00FA572F" w:rsidRDefault="00771711" w:rsidP="009047F0">
            <w:pPr>
              <w:rPr>
                <w:b/>
                <w:sz w:val="20"/>
                <w:szCs w:val="20"/>
              </w:rPr>
            </w:pPr>
            <w:r>
              <w:rPr>
                <w:b/>
                <w:sz w:val="20"/>
                <w:szCs w:val="20"/>
              </w:rPr>
              <w:t>Area of Focus</w:t>
            </w:r>
          </w:p>
        </w:tc>
        <w:tc>
          <w:tcPr>
            <w:tcW w:w="5460" w:type="dxa"/>
            <w:shd w:val="clear" w:color="auto" w:fill="D0CECE" w:themeFill="background2" w:themeFillShade="E6"/>
          </w:tcPr>
          <w:p w14:paraId="7400F7C3" w14:textId="31B484FB" w:rsidR="00771711" w:rsidRPr="00FA572F" w:rsidRDefault="59D1E285" w:rsidP="05A74C2B">
            <w:pPr>
              <w:rPr>
                <w:b/>
                <w:bCs/>
                <w:sz w:val="20"/>
                <w:szCs w:val="20"/>
              </w:rPr>
            </w:pPr>
            <w:r w:rsidRPr="05A74C2B">
              <w:rPr>
                <w:b/>
                <w:bCs/>
                <w:sz w:val="20"/>
                <w:szCs w:val="20"/>
              </w:rPr>
              <w:t>M</w:t>
            </w:r>
            <w:r w:rsidR="00771711" w:rsidRPr="05A74C2B">
              <w:rPr>
                <w:b/>
                <w:bCs/>
                <w:sz w:val="20"/>
                <w:szCs w:val="20"/>
              </w:rPr>
              <w:t xml:space="preserve">LL Metric </w:t>
            </w:r>
          </w:p>
        </w:tc>
        <w:tc>
          <w:tcPr>
            <w:tcW w:w="3795" w:type="dxa"/>
            <w:shd w:val="clear" w:color="auto" w:fill="D0CECE" w:themeFill="background2" w:themeFillShade="E6"/>
          </w:tcPr>
          <w:p w14:paraId="148E510A" w14:textId="5BE10F37" w:rsidR="00771711" w:rsidRPr="00FA572F" w:rsidRDefault="00771711" w:rsidP="008C6926">
            <w:pPr>
              <w:rPr>
                <w:b/>
                <w:sz w:val="20"/>
                <w:szCs w:val="20"/>
              </w:rPr>
            </w:pPr>
            <w:r>
              <w:rPr>
                <w:b/>
                <w:sz w:val="20"/>
                <w:szCs w:val="20"/>
              </w:rPr>
              <w:t xml:space="preserve">Evidence </w:t>
            </w:r>
          </w:p>
        </w:tc>
        <w:tc>
          <w:tcPr>
            <w:tcW w:w="4085" w:type="dxa"/>
            <w:shd w:val="clear" w:color="auto" w:fill="D0CECE" w:themeFill="background2" w:themeFillShade="E6"/>
          </w:tcPr>
          <w:p w14:paraId="796238FD" w14:textId="1B0A623E" w:rsidR="64A16073" w:rsidRDefault="64A16073" w:rsidP="0FF43DF2">
            <w:pPr>
              <w:rPr>
                <w:b/>
                <w:bCs/>
                <w:sz w:val="20"/>
                <w:szCs w:val="20"/>
              </w:rPr>
            </w:pPr>
            <w:r w:rsidRPr="0FF43DF2">
              <w:rPr>
                <w:b/>
                <w:bCs/>
                <w:sz w:val="20"/>
                <w:szCs w:val="20"/>
              </w:rPr>
              <w:t>Implication for Implementation</w:t>
            </w:r>
          </w:p>
        </w:tc>
      </w:tr>
      <w:tr w:rsidR="00771711" w14:paraId="545B2F16" w14:textId="77777777" w:rsidTr="00397F07">
        <w:tc>
          <w:tcPr>
            <w:tcW w:w="1800" w:type="dxa"/>
            <w:vMerge w:val="restart"/>
            <w:shd w:val="clear" w:color="auto" w:fill="F4B083" w:themeFill="accent2" w:themeFillTint="99"/>
          </w:tcPr>
          <w:p w14:paraId="71CA286F" w14:textId="1257266A" w:rsidR="00771711" w:rsidRPr="007760A5" w:rsidRDefault="00771711" w:rsidP="0FF43DF2">
            <w:pPr>
              <w:rPr>
                <w:b/>
                <w:bCs/>
                <w:sz w:val="20"/>
                <w:szCs w:val="20"/>
              </w:rPr>
            </w:pPr>
            <w:r w:rsidRPr="0FF43DF2">
              <w:rPr>
                <w:b/>
                <w:bCs/>
                <w:sz w:val="20"/>
                <w:szCs w:val="20"/>
              </w:rPr>
              <w:t xml:space="preserve">I. Interdependence of Mathematical Content, Practices, and Language </w:t>
            </w:r>
          </w:p>
        </w:tc>
        <w:tc>
          <w:tcPr>
            <w:tcW w:w="5460" w:type="dxa"/>
          </w:tcPr>
          <w:p w14:paraId="43B1D1A5" w14:textId="77777777" w:rsidR="00771711" w:rsidRDefault="00771711" w:rsidP="002E003B">
            <w:pPr>
              <w:rPr>
                <w:sz w:val="20"/>
                <w:szCs w:val="20"/>
              </w:rPr>
            </w:pPr>
            <w:r>
              <w:rPr>
                <w:sz w:val="20"/>
                <w:szCs w:val="20"/>
              </w:rPr>
              <w:t xml:space="preserve">1. Strategic opportunities to use and refine both language and mathematics over time.  </w:t>
            </w:r>
          </w:p>
          <w:p w14:paraId="4F46C1AD" w14:textId="3221A9EB" w:rsidR="00771711" w:rsidRDefault="00771711" w:rsidP="000A151F">
            <w:pPr>
              <w:pStyle w:val="ListParagraph"/>
              <w:numPr>
                <w:ilvl w:val="0"/>
                <w:numId w:val="4"/>
              </w:numPr>
              <w:rPr>
                <w:sz w:val="20"/>
                <w:szCs w:val="20"/>
              </w:rPr>
            </w:pPr>
            <w:r>
              <w:rPr>
                <w:sz w:val="20"/>
                <w:szCs w:val="20"/>
              </w:rPr>
              <w:t>Make connections between current language, new language and math concepts using multiple language activities and experiences</w:t>
            </w:r>
            <w:r w:rsidR="00202A34">
              <w:rPr>
                <w:sz w:val="20"/>
                <w:szCs w:val="20"/>
              </w:rPr>
              <w:t>.</w:t>
            </w:r>
          </w:p>
          <w:p w14:paraId="28B05B37" w14:textId="40D32A8E" w:rsidR="00771711" w:rsidRDefault="00771711" w:rsidP="000A151F">
            <w:pPr>
              <w:rPr>
                <w:sz w:val="20"/>
                <w:szCs w:val="20"/>
              </w:rPr>
            </w:pPr>
          </w:p>
          <w:p w14:paraId="00145DA9" w14:textId="272EB468" w:rsidR="00774D99" w:rsidRDefault="00774D99" w:rsidP="000A151F">
            <w:pPr>
              <w:rPr>
                <w:sz w:val="20"/>
                <w:szCs w:val="20"/>
              </w:rPr>
            </w:pPr>
          </w:p>
          <w:p w14:paraId="45CBB413" w14:textId="77777777" w:rsidR="00774D99" w:rsidRDefault="00774D99" w:rsidP="000A151F">
            <w:pPr>
              <w:rPr>
                <w:sz w:val="20"/>
                <w:szCs w:val="20"/>
              </w:rPr>
            </w:pPr>
          </w:p>
          <w:p w14:paraId="1A28E307" w14:textId="77777777" w:rsidR="00774D99" w:rsidRDefault="00774D99" w:rsidP="000A151F">
            <w:pPr>
              <w:rPr>
                <w:sz w:val="20"/>
                <w:szCs w:val="20"/>
              </w:rPr>
            </w:pPr>
          </w:p>
          <w:p w14:paraId="737E1518" w14:textId="10A80DDF" w:rsidR="00774D99" w:rsidRPr="000A151F" w:rsidRDefault="00774D99" w:rsidP="000A151F">
            <w:pPr>
              <w:rPr>
                <w:sz w:val="20"/>
                <w:szCs w:val="20"/>
              </w:rPr>
            </w:pPr>
          </w:p>
        </w:tc>
        <w:tc>
          <w:tcPr>
            <w:tcW w:w="3795" w:type="dxa"/>
          </w:tcPr>
          <w:p w14:paraId="6AB49504" w14:textId="77777777" w:rsidR="00771711" w:rsidRDefault="00771711" w:rsidP="47862355">
            <w:pPr>
              <w:rPr>
                <w:b/>
                <w:bCs/>
                <w:sz w:val="20"/>
                <w:szCs w:val="20"/>
              </w:rPr>
            </w:pPr>
          </w:p>
        </w:tc>
        <w:tc>
          <w:tcPr>
            <w:tcW w:w="4085" w:type="dxa"/>
          </w:tcPr>
          <w:p w14:paraId="4F0AE66E" w14:textId="41302D4C" w:rsidR="0FF43DF2" w:rsidRDefault="0FF43DF2" w:rsidP="0FF43DF2">
            <w:pPr>
              <w:rPr>
                <w:b/>
                <w:bCs/>
                <w:sz w:val="20"/>
                <w:szCs w:val="20"/>
              </w:rPr>
            </w:pPr>
          </w:p>
        </w:tc>
      </w:tr>
      <w:tr w:rsidR="00771711" w14:paraId="6FAE4DAD" w14:textId="77777777" w:rsidTr="00397F07">
        <w:tc>
          <w:tcPr>
            <w:tcW w:w="1800" w:type="dxa"/>
            <w:vMerge/>
          </w:tcPr>
          <w:p w14:paraId="492A3802" w14:textId="77777777" w:rsidR="00771711" w:rsidRPr="00FA572F" w:rsidRDefault="00771711" w:rsidP="009047F0">
            <w:pPr>
              <w:rPr>
                <w:b/>
                <w:sz w:val="20"/>
                <w:szCs w:val="20"/>
              </w:rPr>
            </w:pPr>
          </w:p>
        </w:tc>
        <w:tc>
          <w:tcPr>
            <w:tcW w:w="5460" w:type="dxa"/>
          </w:tcPr>
          <w:p w14:paraId="28D533CC" w14:textId="77777777" w:rsidR="00771711" w:rsidRDefault="00771711" w:rsidP="000A151F">
            <w:pPr>
              <w:rPr>
                <w:sz w:val="20"/>
                <w:szCs w:val="20"/>
              </w:rPr>
            </w:pPr>
            <w:r>
              <w:rPr>
                <w:sz w:val="20"/>
                <w:szCs w:val="20"/>
              </w:rPr>
              <w:t>2. Explicit mathematics language learning goals and pathways in both teacher and student materials.</w:t>
            </w:r>
          </w:p>
          <w:p w14:paraId="6CBA5EE8" w14:textId="77777777" w:rsidR="00774D99" w:rsidRDefault="00774D99" w:rsidP="000A151F">
            <w:pPr>
              <w:rPr>
                <w:sz w:val="20"/>
                <w:szCs w:val="20"/>
              </w:rPr>
            </w:pPr>
          </w:p>
          <w:p w14:paraId="61E1A4F9" w14:textId="77777777" w:rsidR="00774D99" w:rsidRDefault="00774D99" w:rsidP="000A151F">
            <w:pPr>
              <w:rPr>
                <w:sz w:val="20"/>
                <w:szCs w:val="20"/>
              </w:rPr>
            </w:pPr>
          </w:p>
          <w:p w14:paraId="3B04B8B2" w14:textId="48C5F5DE" w:rsidR="00774D99" w:rsidRDefault="00774D99" w:rsidP="000A151F">
            <w:pPr>
              <w:rPr>
                <w:sz w:val="20"/>
                <w:szCs w:val="20"/>
              </w:rPr>
            </w:pPr>
          </w:p>
          <w:p w14:paraId="6D76221C" w14:textId="552342C1" w:rsidR="00774D99" w:rsidRDefault="00774D99" w:rsidP="000A151F">
            <w:pPr>
              <w:rPr>
                <w:sz w:val="20"/>
                <w:szCs w:val="20"/>
              </w:rPr>
            </w:pPr>
          </w:p>
          <w:p w14:paraId="44C4B6BC" w14:textId="77777777" w:rsidR="00774D99" w:rsidRDefault="00774D99" w:rsidP="000A151F">
            <w:pPr>
              <w:rPr>
                <w:sz w:val="20"/>
                <w:szCs w:val="20"/>
              </w:rPr>
            </w:pPr>
          </w:p>
          <w:p w14:paraId="73B37678" w14:textId="2882BFCC" w:rsidR="00774D99" w:rsidRPr="000A151F" w:rsidRDefault="00774D99" w:rsidP="000A151F">
            <w:pPr>
              <w:rPr>
                <w:sz w:val="20"/>
                <w:szCs w:val="20"/>
              </w:rPr>
            </w:pPr>
          </w:p>
        </w:tc>
        <w:tc>
          <w:tcPr>
            <w:tcW w:w="3795" w:type="dxa"/>
          </w:tcPr>
          <w:p w14:paraId="3E407ED1" w14:textId="77777777" w:rsidR="00771711" w:rsidRDefault="00771711" w:rsidP="47862355">
            <w:pPr>
              <w:rPr>
                <w:b/>
                <w:bCs/>
                <w:sz w:val="20"/>
                <w:szCs w:val="20"/>
              </w:rPr>
            </w:pPr>
          </w:p>
        </w:tc>
        <w:tc>
          <w:tcPr>
            <w:tcW w:w="4085" w:type="dxa"/>
          </w:tcPr>
          <w:p w14:paraId="085DE12B" w14:textId="2EBD8BF6" w:rsidR="0FF43DF2" w:rsidRDefault="0FF43DF2" w:rsidP="0FF43DF2">
            <w:pPr>
              <w:rPr>
                <w:b/>
                <w:bCs/>
                <w:sz w:val="20"/>
                <w:szCs w:val="20"/>
              </w:rPr>
            </w:pPr>
          </w:p>
        </w:tc>
      </w:tr>
      <w:tr w:rsidR="00771711" w14:paraId="562C8BC8" w14:textId="77777777" w:rsidTr="00397F07">
        <w:tc>
          <w:tcPr>
            <w:tcW w:w="1800" w:type="dxa"/>
            <w:vMerge/>
          </w:tcPr>
          <w:p w14:paraId="15EA69D8" w14:textId="77777777" w:rsidR="00771711" w:rsidRPr="00FA572F" w:rsidRDefault="00771711" w:rsidP="009047F0">
            <w:pPr>
              <w:rPr>
                <w:b/>
                <w:sz w:val="20"/>
                <w:szCs w:val="20"/>
              </w:rPr>
            </w:pPr>
          </w:p>
        </w:tc>
        <w:tc>
          <w:tcPr>
            <w:tcW w:w="5460" w:type="dxa"/>
          </w:tcPr>
          <w:p w14:paraId="32958DA5" w14:textId="77777777" w:rsidR="00771711" w:rsidRDefault="00771711" w:rsidP="009047F0">
            <w:pPr>
              <w:rPr>
                <w:sz w:val="20"/>
                <w:szCs w:val="20"/>
              </w:rPr>
            </w:pPr>
            <w:r>
              <w:rPr>
                <w:sz w:val="20"/>
                <w:szCs w:val="20"/>
              </w:rPr>
              <w:t xml:space="preserve">3. Regular and varying opportunities to learn, reflect upon, and demonstrate learning of mathematics using a variety of modes and forms. </w:t>
            </w:r>
          </w:p>
          <w:p w14:paraId="4D364C6A" w14:textId="508063ED" w:rsidR="00771711" w:rsidRDefault="00771711" w:rsidP="000A151F">
            <w:pPr>
              <w:pStyle w:val="ListParagraph"/>
              <w:numPr>
                <w:ilvl w:val="0"/>
                <w:numId w:val="4"/>
              </w:numPr>
              <w:rPr>
                <w:sz w:val="20"/>
                <w:szCs w:val="20"/>
              </w:rPr>
            </w:pPr>
            <w:r>
              <w:rPr>
                <w:sz w:val="20"/>
                <w:szCs w:val="20"/>
              </w:rPr>
              <w:t>Regular opportunities for speaking, listening, reading and writing about mathematical concepts</w:t>
            </w:r>
            <w:r w:rsidR="00202A34">
              <w:rPr>
                <w:sz w:val="20"/>
                <w:szCs w:val="20"/>
              </w:rPr>
              <w:t>.</w:t>
            </w:r>
          </w:p>
          <w:p w14:paraId="6B206275" w14:textId="688666D8" w:rsidR="00771711" w:rsidRDefault="00771711" w:rsidP="000A151F">
            <w:pPr>
              <w:pStyle w:val="ListParagraph"/>
              <w:numPr>
                <w:ilvl w:val="0"/>
                <w:numId w:val="4"/>
              </w:numPr>
              <w:rPr>
                <w:sz w:val="20"/>
                <w:szCs w:val="20"/>
              </w:rPr>
            </w:pPr>
            <w:r>
              <w:rPr>
                <w:sz w:val="20"/>
                <w:szCs w:val="20"/>
              </w:rPr>
              <w:t>Materials prompt students to reflect on their own thought process, language use and methods of learning</w:t>
            </w:r>
            <w:r w:rsidR="00202A34">
              <w:rPr>
                <w:sz w:val="20"/>
                <w:szCs w:val="20"/>
              </w:rPr>
              <w:t>.</w:t>
            </w:r>
          </w:p>
          <w:p w14:paraId="22E329FF" w14:textId="07244DF4" w:rsidR="00771711" w:rsidRDefault="00771711" w:rsidP="000A151F">
            <w:pPr>
              <w:pStyle w:val="ListParagraph"/>
              <w:numPr>
                <w:ilvl w:val="0"/>
                <w:numId w:val="4"/>
              </w:numPr>
              <w:rPr>
                <w:sz w:val="20"/>
                <w:szCs w:val="20"/>
              </w:rPr>
            </w:pPr>
            <w:r>
              <w:rPr>
                <w:sz w:val="20"/>
                <w:szCs w:val="20"/>
              </w:rPr>
              <w:t>Materials encourage students to use interdisciplinary words and phrases as well as math-specific words and phrases</w:t>
            </w:r>
            <w:r w:rsidR="00202A34">
              <w:rPr>
                <w:sz w:val="20"/>
                <w:szCs w:val="20"/>
              </w:rPr>
              <w:t>.</w:t>
            </w:r>
          </w:p>
          <w:p w14:paraId="08385036" w14:textId="77777777" w:rsidR="00774D99" w:rsidRDefault="00774D99" w:rsidP="00774D99">
            <w:pPr>
              <w:rPr>
                <w:sz w:val="20"/>
                <w:szCs w:val="20"/>
              </w:rPr>
            </w:pPr>
          </w:p>
          <w:p w14:paraId="3E186420" w14:textId="77777777" w:rsidR="00774D99" w:rsidRDefault="00774D99" w:rsidP="00774D99">
            <w:pPr>
              <w:rPr>
                <w:sz w:val="20"/>
                <w:szCs w:val="20"/>
              </w:rPr>
            </w:pPr>
          </w:p>
          <w:p w14:paraId="5CEB2E1A" w14:textId="7369D4DF" w:rsidR="00774D99" w:rsidRPr="00774D99" w:rsidRDefault="00774D99" w:rsidP="00774D99">
            <w:pPr>
              <w:rPr>
                <w:sz w:val="20"/>
                <w:szCs w:val="20"/>
              </w:rPr>
            </w:pPr>
          </w:p>
        </w:tc>
        <w:tc>
          <w:tcPr>
            <w:tcW w:w="3795" w:type="dxa"/>
          </w:tcPr>
          <w:p w14:paraId="0478DA1C" w14:textId="77777777" w:rsidR="00771711" w:rsidRDefault="00771711" w:rsidP="47862355">
            <w:pPr>
              <w:rPr>
                <w:b/>
                <w:bCs/>
                <w:sz w:val="20"/>
                <w:szCs w:val="20"/>
              </w:rPr>
            </w:pPr>
          </w:p>
        </w:tc>
        <w:tc>
          <w:tcPr>
            <w:tcW w:w="4085" w:type="dxa"/>
          </w:tcPr>
          <w:p w14:paraId="20F395B3" w14:textId="5A01545A" w:rsidR="0FF43DF2" w:rsidRDefault="0FF43DF2" w:rsidP="0FF43DF2">
            <w:pPr>
              <w:rPr>
                <w:b/>
                <w:bCs/>
                <w:sz w:val="20"/>
                <w:szCs w:val="20"/>
              </w:rPr>
            </w:pPr>
          </w:p>
        </w:tc>
      </w:tr>
      <w:tr w:rsidR="00771711" w14:paraId="4E887C2A" w14:textId="77777777" w:rsidTr="00397F07">
        <w:tc>
          <w:tcPr>
            <w:tcW w:w="1800" w:type="dxa"/>
            <w:vMerge w:val="restart"/>
            <w:shd w:val="clear" w:color="auto" w:fill="B4C6E7" w:themeFill="accent1" w:themeFillTint="66"/>
          </w:tcPr>
          <w:p w14:paraId="530E8A6A" w14:textId="64999237" w:rsidR="00771711" w:rsidRDefault="00771711" w:rsidP="002E003B">
            <w:pPr>
              <w:rPr>
                <w:b/>
                <w:sz w:val="20"/>
                <w:szCs w:val="20"/>
              </w:rPr>
            </w:pPr>
            <w:r>
              <w:rPr>
                <w:b/>
                <w:sz w:val="20"/>
                <w:szCs w:val="20"/>
              </w:rPr>
              <w:lastRenderedPageBreak/>
              <w:t xml:space="preserve">II.  Scaffolding and Supports for Stimulus Development </w:t>
            </w:r>
          </w:p>
        </w:tc>
        <w:tc>
          <w:tcPr>
            <w:tcW w:w="5460" w:type="dxa"/>
          </w:tcPr>
          <w:p w14:paraId="4C19B274" w14:textId="77777777" w:rsidR="00771711" w:rsidRDefault="00771711" w:rsidP="006B50A4">
            <w:pPr>
              <w:rPr>
                <w:sz w:val="20"/>
                <w:szCs w:val="20"/>
              </w:rPr>
            </w:pPr>
            <w:r w:rsidRPr="006B50A4">
              <w:rPr>
                <w:sz w:val="20"/>
                <w:szCs w:val="20"/>
              </w:rPr>
              <w:t xml:space="preserve">4. Opportunities for students to interact with and produce a variety of methods and representations. </w:t>
            </w:r>
          </w:p>
          <w:p w14:paraId="1944DDA4" w14:textId="293744C0" w:rsidR="00771711" w:rsidRDefault="00771711" w:rsidP="006B50A4">
            <w:pPr>
              <w:pStyle w:val="ListParagraph"/>
              <w:numPr>
                <w:ilvl w:val="0"/>
                <w:numId w:val="12"/>
              </w:numPr>
              <w:rPr>
                <w:sz w:val="20"/>
                <w:szCs w:val="20"/>
              </w:rPr>
            </w:pPr>
            <w:r w:rsidRPr="006B50A4">
              <w:rPr>
                <w:sz w:val="20"/>
                <w:szCs w:val="20"/>
              </w:rPr>
              <w:t>Materials provide a variety to learning activities for students to generate mathematical methods</w:t>
            </w:r>
            <w:r w:rsidR="00202A34">
              <w:rPr>
                <w:sz w:val="20"/>
                <w:szCs w:val="20"/>
              </w:rPr>
              <w:t>.</w:t>
            </w:r>
          </w:p>
          <w:p w14:paraId="4F5D9B97" w14:textId="77777777" w:rsidR="00771711" w:rsidRDefault="00771711" w:rsidP="006B50A4">
            <w:pPr>
              <w:pStyle w:val="ListParagraph"/>
              <w:numPr>
                <w:ilvl w:val="0"/>
                <w:numId w:val="12"/>
              </w:numPr>
              <w:rPr>
                <w:sz w:val="20"/>
                <w:szCs w:val="20"/>
              </w:rPr>
            </w:pPr>
            <w:r>
              <w:rPr>
                <w:sz w:val="20"/>
                <w:szCs w:val="20"/>
              </w:rPr>
              <w:t xml:space="preserve">Teacher materials provide </w:t>
            </w:r>
            <w:r w:rsidRPr="006B50A4">
              <w:rPr>
                <w:sz w:val="20"/>
                <w:szCs w:val="20"/>
              </w:rPr>
              <w:t xml:space="preserve">supports for teacher modeling of reading, writing, speaking and listening and thinking aloud. </w:t>
            </w:r>
          </w:p>
          <w:p w14:paraId="6EFBF28C" w14:textId="77777777" w:rsidR="00774D99" w:rsidRDefault="00774D99" w:rsidP="00774D99">
            <w:pPr>
              <w:rPr>
                <w:sz w:val="20"/>
                <w:szCs w:val="20"/>
              </w:rPr>
            </w:pPr>
          </w:p>
          <w:p w14:paraId="6FE0F14D" w14:textId="48047B53" w:rsidR="00774D99" w:rsidRPr="00774D99" w:rsidRDefault="00774D99" w:rsidP="00774D99">
            <w:pPr>
              <w:rPr>
                <w:sz w:val="20"/>
                <w:szCs w:val="20"/>
              </w:rPr>
            </w:pPr>
          </w:p>
        </w:tc>
        <w:tc>
          <w:tcPr>
            <w:tcW w:w="3795" w:type="dxa"/>
          </w:tcPr>
          <w:p w14:paraId="10A76856" w14:textId="77777777" w:rsidR="00771711" w:rsidRDefault="00771711" w:rsidP="47862355">
            <w:pPr>
              <w:rPr>
                <w:b/>
                <w:bCs/>
                <w:sz w:val="20"/>
                <w:szCs w:val="20"/>
              </w:rPr>
            </w:pPr>
          </w:p>
        </w:tc>
        <w:tc>
          <w:tcPr>
            <w:tcW w:w="4085" w:type="dxa"/>
          </w:tcPr>
          <w:p w14:paraId="1330D45F" w14:textId="43DACB6D" w:rsidR="0FF43DF2" w:rsidRDefault="0FF43DF2" w:rsidP="0FF43DF2">
            <w:pPr>
              <w:rPr>
                <w:b/>
                <w:bCs/>
                <w:sz w:val="20"/>
                <w:szCs w:val="20"/>
              </w:rPr>
            </w:pPr>
          </w:p>
        </w:tc>
      </w:tr>
      <w:tr w:rsidR="00771711" w14:paraId="3171F637" w14:textId="77777777" w:rsidTr="00397F07">
        <w:trPr>
          <w:trHeight w:val="359"/>
        </w:trPr>
        <w:tc>
          <w:tcPr>
            <w:tcW w:w="1800" w:type="dxa"/>
            <w:vMerge/>
          </w:tcPr>
          <w:p w14:paraId="574F564B" w14:textId="02079C18" w:rsidR="00771711" w:rsidRDefault="00771711" w:rsidP="009047F0">
            <w:pPr>
              <w:rPr>
                <w:b/>
                <w:sz w:val="20"/>
                <w:szCs w:val="20"/>
              </w:rPr>
            </w:pPr>
          </w:p>
        </w:tc>
        <w:tc>
          <w:tcPr>
            <w:tcW w:w="5460" w:type="dxa"/>
          </w:tcPr>
          <w:p w14:paraId="3058FFB5" w14:textId="485547D3" w:rsidR="00771711" w:rsidRDefault="00771711" w:rsidP="002E003B">
            <w:pPr>
              <w:rPr>
                <w:sz w:val="20"/>
                <w:szCs w:val="20"/>
              </w:rPr>
            </w:pPr>
            <w:r w:rsidRPr="05A74C2B">
              <w:rPr>
                <w:sz w:val="20"/>
                <w:szCs w:val="20"/>
              </w:rPr>
              <w:t xml:space="preserve">5. Directions for providing specialized individual and small group instruction to </w:t>
            </w:r>
            <w:r w:rsidR="5083D268" w:rsidRPr="05A74C2B">
              <w:rPr>
                <w:sz w:val="20"/>
                <w:szCs w:val="20"/>
              </w:rPr>
              <w:t>MLL</w:t>
            </w:r>
            <w:r w:rsidRPr="05A74C2B">
              <w:rPr>
                <w:sz w:val="20"/>
                <w:szCs w:val="20"/>
              </w:rPr>
              <w:t xml:space="preserve">s as well as whole class activities. Teachers materials give guidance on what to look for, listen for, questions to ask/or feedback to give when meeting with </w:t>
            </w:r>
            <w:r w:rsidR="6C0C9A4A" w:rsidRPr="05A74C2B">
              <w:rPr>
                <w:sz w:val="20"/>
                <w:szCs w:val="20"/>
              </w:rPr>
              <w:t>MLL</w:t>
            </w:r>
            <w:r w:rsidRPr="05A74C2B">
              <w:rPr>
                <w:sz w:val="20"/>
                <w:szCs w:val="20"/>
              </w:rPr>
              <w:t xml:space="preserve"> students</w:t>
            </w:r>
            <w:r w:rsidR="00202A34">
              <w:rPr>
                <w:sz w:val="20"/>
                <w:szCs w:val="20"/>
              </w:rPr>
              <w:t>.</w:t>
            </w:r>
          </w:p>
          <w:p w14:paraId="51F06E55" w14:textId="77777777" w:rsidR="00774D99" w:rsidRDefault="00774D99" w:rsidP="002E003B">
            <w:pPr>
              <w:rPr>
                <w:sz w:val="20"/>
                <w:szCs w:val="20"/>
              </w:rPr>
            </w:pPr>
          </w:p>
          <w:p w14:paraId="4CE59E7D" w14:textId="77777777" w:rsidR="00774D99" w:rsidRDefault="00774D99" w:rsidP="002E003B">
            <w:pPr>
              <w:rPr>
                <w:sz w:val="20"/>
                <w:szCs w:val="20"/>
              </w:rPr>
            </w:pPr>
          </w:p>
          <w:p w14:paraId="19AE5C95" w14:textId="6E9107D0" w:rsidR="00774D99" w:rsidRDefault="00774D99" w:rsidP="002E003B">
            <w:pPr>
              <w:rPr>
                <w:sz w:val="20"/>
                <w:szCs w:val="20"/>
              </w:rPr>
            </w:pPr>
          </w:p>
        </w:tc>
        <w:tc>
          <w:tcPr>
            <w:tcW w:w="3795" w:type="dxa"/>
          </w:tcPr>
          <w:p w14:paraId="26180110" w14:textId="77777777" w:rsidR="00771711" w:rsidRDefault="00771711" w:rsidP="47862355">
            <w:pPr>
              <w:rPr>
                <w:b/>
                <w:bCs/>
                <w:sz w:val="20"/>
                <w:szCs w:val="20"/>
              </w:rPr>
            </w:pPr>
          </w:p>
        </w:tc>
        <w:tc>
          <w:tcPr>
            <w:tcW w:w="4085" w:type="dxa"/>
          </w:tcPr>
          <w:p w14:paraId="65B372F2" w14:textId="276D8E3C" w:rsidR="0FF43DF2" w:rsidRDefault="0FF43DF2" w:rsidP="0FF43DF2">
            <w:pPr>
              <w:rPr>
                <w:b/>
                <w:bCs/>
                <w:sz w:val="20"/>
                <w:szCs w:val="20"/>
              </w:rPr>
            </w:pPr>
          </w:p>
        </w:tc>
      </w:tr>
      <w:tr w:rsidR="00771711" w14:paraId="1992A63F" w14:textId="77777777" w:rsidTr="00397F07">
        <w:trPr>
          <w:trHeight w:val="485"/>
        </w:trPr>
        <w:tc>
          <w:tcPr>
            <w:tcW w:w="1800" w:type="dxa"/>
            <w:vMerge/>
          </w:tcPr>
          <w:p w14:paraId="0CE6E647" w14:textId="29E1103D" w:rsidR="00771711" w:rsidRPr="00FA572F" w:rsidRDefault="00771711" w:rsidP="009047F0">
            <w:pPr>
              <w:rPr>
                <w:b/>
                <w:sz w:val="20"/>
                <w:szCs w:val="20"/>
              </w:rPr>
            </w:pPr>
          </w:p>
        </w:tc>
        <w:tc>
          <w:tcPr>
            <w:tcW w:w="5460" w:type="dxa"/>
          </w:tcPr>
          <w:p w14:paraId="02EBFDFD" w14:textId="77777777" w:rsidR="00771711" w:rsidRDefault="00771711" w:rsidP="005B4C73">
            <w:pPr>
              <w:rPr>
                <w:sz w:val="20"/>
                <w:szCs w:val="20"/>
              </w:rPr>
            </w:pPr>
            <w:r w:rsidRPr="005B4C73">
              <w:rPr>
                <w:sz w:val="20"/>
                <w:szCs w:val="20"/>
              </w:rPr>
              <w:t xml:space="preserve">6. Guidance for anticipating potential language demands and opportunities in student activities. </w:t>
            </w:r>
          </w:p>
          <w:p w14:paraId="4E11D09B" w14:textId="647AF067" w:rsidR="00771711" w:rsidRPr="005B4C73" w:rsidRDefault="00771711" w:rsidP="005B4C73">
            <w:pPr>
              <w:pStyle w:val="ListParagraph"/>
              <w:numPr>
                <w:ilvl w:val="0"/>
                <w:numId w:val="10"/>
              </w:numPr>
              <w:rPr>
                <w:sz w:val="20"/>
                <w:szCs w:val="20"/>
              </w:rPr>
            </w:pPr>
            <w:r w:rsidRPr="005B4C73">
              <w:rPr>
                <w:sz w:val="20"/>
                <w:szCs w:val="20"/>
              </w:rPr>
              <w:t xml:space="preserve">Materials provide activities to help distinguish between common everyday meanings of language and mathematical meanings (round, table, product, origin, etc.). </w:t>
            </w:r>
          </w:p>
          <w:p w14:paraId="6D409C0F" w14:textId="4F03B899" w:rsidR="00771711" w:rsidRDefault="00771711" w:rsidP="005B4C73">
            <w:pPr>
              <w:pStyle w:val="ListParagraph"/>
              <w:numPr>
                <w:ilvl w:val="0"/>
                <w:numId w:val="7"/>
              </w:numPr>
              <w:rPr>
                <w:sz w:val="20"/>
                <w:szCs w:val="20"/>
              </w:rPr>
            </w:pPr>
            <w:r w:rsidRPr="005B4C73">
              <w:rPr>
                <w:sz w:val="20"/>
                <w:szCs w:val="20"/>
              </w:rPr>
              <w:t>Unit amplifies rather than simplifies English language structures and forms</w:t>
            </w:r>
            <w:r w:rsidR="00202A34">
              <w:rPr>
                <w:sz w:val="20"/>
                <w:szCs w:val="20"/>
              </w:rPr>
              <w:t>.</w:t>
            </w:r>
          </w:p>
          <w:p w14:paraId="63F1A4D0" w14:textId="77777777" w:rsidR="00774D99" w:rsidRDefault="00774D99" w:rsidP="00774D99">
            <w:pPr>
              <w:rPr>
                <w:sz w:val="20"/>
                <w:szCs w:val="20"/>
              </w:rPr>
            </w:pPr>
          </w:p>
          <w:p w14:paraId="111CF229" w14:textId="15AB33DF" w:rsidR="00774D99" w:rsidRPr="00774D99" w:rsidRDefault="00774D99" w:rsidP="00774D99">
            <w:pPr>
              <w:rPr>
                <w:sz w:val="20"/>
                <w:szCs w:val="20"/>
              </w:rPr>
            </w:pPr>
          </w:p>
        </w:tc>
        <w:tc>
          <w:tcPr>
            <w:tcW w:w="3795" w:type="dxa"/>
          </w:tcPr>
          <w:p w14:paraId="74F46663" w14:textId="77777777" w:rsidR="00771711" w:rsidRDefault="00771711" w:rsidP="47862355">
            <w:pPr>
              <w:rPr>
                <w:b/>
                <w:bCs/>
                <w:sz w:val="20"/>
                <w:szCs w:val="20"/>
              </w:rPr>
            </w:pPr>
          </w:p>
        </w:tc>
        <w:tc>
          <w:tcPr>
            <w:tcW w:w="4085" w:type="dxa"/>
          </w:tcPr>
          <w:p w14:paraId="00ECE239" w14:textId="48FD56E7" w:rsidR="0FF43DF2" w:rsidRDefault="0FF43DF2" w:rsidP="0FF43DF2">
            <w:pPr>
              <w:rPr>
                <w:b/>
                <w:bCs/>
                <w:sz w:val="20"/>
                <w:szCs w:val="20"/>
              </w:rPr>
            </w:pPr>
          </w:p>
        </w:tc>
      </w:tr>
      <w:tr w:rsidR="00771711" w14:paraId="1CB796B4" w14:textId="77777777" w:rsidTr="00397F07">
        <w:tc>
          <w:tcPr>
            <w:tcW w:w="1800" w:type="dxa"/>
            <w:vMerge w:val="restart"/>
            <w:shd w:val="clear" w:color="auto" w:fill="A8D08D" w:themeFill="accent6" w:themeFillTint="99"/>
          </w:tcPr>
          <w:p w14:paraId="2A0080D3" w14:textId="19A725F8" w:rsidR="00771711" w:rsidRPr="00FA572F" w:rsidRDefault="00771711" w:rsidP="002E003B">
            <w:pPr>
              <w:rPr>
                <w:b/>
                <w:sz w:val="20"/>
                <w:szCs w:val="20"/>
              </w:rPr>
            </w:pPr>
            <w:r>
              <w:rPr>
                <w:b/>
                <w:sz w:val="20"/>
                <w:szCs w:val="20"/>
              </w:rPr>
              <w:t xml:space="preserve">III. Mathematical Rigor Through Language </w:t>
            </w:r>
          </w:p>
        </w:tc>
        <w:tc>
          <w:tcPr>
            <w:tcW w:w="5460" w:type="dxa"/>
          </w:tcPr>
          <w:p w14:paraId="3E860C01" w14:textId="77777777" w:rsidR="00771711" w:rsidRDefault="00771711" w:rsidP="002E003B">
            <w:pPr>
              <w:rPr>
                <w:sz w:val="20"/>
                <w:szCs w:val="20"/>
              </w:rPr>
            </w:pPr>
            <w:r>
              <w:rPr>
                <w:sz w:val="20"/>
                <w:szCs w:val="20"/>
              </w:rPr>
              <w:t xml:space="preserve">7. Explicit guidance for teachers to engage students in using mathematical practices with attention to use and development of language functions. Materials have targeted opportunities for students to use and develop language. </w:t>
            </w:r>
          </w:p>
          <w:p w14:paraId="5CAA226D" w14:textId="77777777" w:rsidR="00774D99" w:rsidRDefault="00774D99" w:rsidP="002E003B">
            <w:pPr>
              <w:rPr>
                <w:sz w:val="20"/>
                <w:szCs w:val="20"/>
              </w:rPr>
            </w:pPr>
          </w:p>
          <w:p w14:paraId="705AF27F" w14:textId="37874D38" w:rsidR="00774D99" w:rsidRPr="00FA572F" w:rsidRDefault="00774D99" w:rsidP="002E003B">
            <w:pPr>
              <w:rPr>
                <w:sz w:val="20"/>
                <w:szCs w:val="20"/>
              </w:rPr>
            </w:pPr>
          </w:p>
        </w:tc>
        <w:tc>
          <w:tcPr>
            <w:tcW w:w="3795" w:type="dxa"/>
          </w:tcPr>
          <w:p w14:paraId="05C56E25" w14:textId="77777777" w:rsidR="00771711" w:rsidRDefault="00771711" w:rsidP="47862355">
            <w:pPr>
              <w:rPr>
                <w:b/>
                <w:bCs/>
                <w:sz w:val="20"/>
                <w:szCs w:val="20"/>
              </w:rPr>
            </w:pPr>
          </w:p>
        </w:tc>
        <w:tc>
          <w:tcPr>
            <w:tcW w:w="4085" w:type="dxa"/>
          </w:tcPr>
          <w:p w14:paraId="5A825FCB" w14:textId="0C337844" w:rsidR="0FF43DF2" w:rsidRDefault="0FF43DF2" w:rsidP="0FF43DF2">
            <w:pPr>
              <w:rPr>
                <w:b/>
                <w:bCs/>
                <w:sz w:val="20"/>
                <w:szCs w:val="20"/>
              </w:rPr>
            </w:pPr>
          </w:p>
        </w:tc>
      </w:tr>
      <w:tr w:rsidR="00771711" w14:paraId="32E86F6F" w14:textId="77777777" w:rsidTr="00397F07">
        <w:tc>
          <w:tcPr>
            <w:tcW w:w="1800" w:type="dxa"/>
            <w:vMerge/>
          </w:tcPr>
          <w:p w14:paraId="769D5454" w14:textId="77777777" w:rsidR="00771711" w:rsidRPr="00FA572F" w:rsidRDefault="00771711" w:rsidP="009047F0">
            <w:pPr>
              <w:rPr>
                <w:b/>
                <w:sz w:val="20"/>
                <w:szCs w:val="20"/>
              </w:rPr>
            </w:pPr>
          </w:p>
        </w:tc>
        <w:tc>
          <w:tcPr>
            <w:tcW w:w="5460" w:type="dxa"/>
          </w:tcPr>
          <w:p w14:paraId="773FB11F" w14:textId="77777777" w:rsidR="00771711" w:rsidRDefault="00771711" w:rsidP="002E003B">
            <w:pPr>
              <w:rPr>
                <w:sz w:val="20"/>
                <w:szCs w:val="20"/>
              </w:rPr>
            </w:pPr>
            <w:r w:rsidRPr="05A74C2B">
              <w:rPr>
                <w:sz w:val="20"/>
                <w:szCs w:val="20"/>
              </w:rPr>
              <w:t xml:space="preserve">8. Maintain appropriate challenge and high expectations of mathematics learning for </w:t>
            </w:r>
            <w:r w:rsidR="7B7BC39F" w:rsidRPr="05A74C2B">
              <w:rPr>
                <w:sz w:val="20"/>
                <w:szCs w:val="20"/>
              </w:rPr>
              <w:t>MLL</w:t>
            </w:r>
            <w:r w:rsidRPr="05A74C2B">
              <w:rPr>
                <w:sz w:val="20"/>
                <w:szCs w:val="20"/>
              </w:rPr>
              <w:t xml:space="preserve"> students and allows for productive struggle before intervening.</w:t>
            </w:r>
          </w:p>
          <w:p w14:paraId="45BFE4E0" w14:textId="77777777" w:rsidR="00774D99" w:rsidRDefault="00774D99" w:rsidP="002E003B">
            <w:pPr>
              <w:rPr>
                <w:sz w:val="20"/>
                <w:szCs w:val="20"/>
              </w:rPr>
            </w:pPr>
          </w:p>
          <w:p w14:paraId="0CB908AA" w14:textId="617AF96E" w:rsidR="00774D99" w:rsidRPr="00FA572F" w:rsidRDefault="00774D99" w:rsidP="002E003B">
            <w:pPr>
              <w:rPr>
                <w:sz w:val="20"/>
                <w:szCs w:val="20"/>
              </w:rPr>
            </w:pPr>
          </w:p>
        </w:tc>
        <w:tc>
          <w:tcPr>
            <w:tcW w:w="3795" w:type="dxa"/>
          </w:tcPr>
          <w:p w14:paraId="0E86CD29" w14:textId="77777777" w:rsidR="00771711" w:rsidRDefault="00771711" w:rsidP="47862355">
            <w:pPr>
              <w:rPr>
                <w:b/>
                <w:bCs/>
                <w:sz w:val="20"/>
                <w:szCs w:val="20"/>
              </w:rPr>
            </w:pPr>
          </w:p>
        </w:tc>
        <w:tc>
          <w:tcPr>
            <w:tcW w:w="4085" w:type="dxa"/>
          </w:tcPr>
          <w:p w14:paraId="3CE77F04" w14:textId="4EA01F86" w:rsidR="0FF43DF2" w:rsidRDefault="0FF43DF2" w:rsidP="0FF43DF2">
            <w:pPr>
              <w:rPr>
                <w:b/>
                <w:bCs/>
                <w:sz w:val="20"/>
                <w:szCs w:val="20"/>
              </w:rPr>
            </w:pPr>
          </w:p>
        </w:tc>
      </w:tr>
      <w:tr w:rsidR="00771711" w14:paraId="4229C3D9" w14:textId="77777777" w:rsidTr="00397F07">
        <w:tc>
          <w:tcPr>
            <w:tcW w:w="1800" w:type="dxa"/>
            <w:vMerge/>
          </w:tcPr>
          <w:p w14:paraId="622AB11F" w14:textId="77777777" w:rsidR="00771711" w:rsidRPr="00FA572F" w:rsidRDefault="00771711" w:rsidP="009047F0">
            <w:pPr>
              <w:rPr>
                <w:b/>
                <w:sz w:val="20"/>
                <w:szCs w:val="20"/>
              </w:rPr>
            </w:pPr>
          </w:p>
        </w:tc>
        <w:tc>
          <w:tcPr>
            <w:tcW w:w="5460" w:type="dxa"/>
          </w:tcPr>
          <w:p w14:paraId="5C56EC38" w14:textId="77777777" w:rsidR="00771711" w:rsidRDefault="00771711" w:rsidP="002E003B">
            <w:pPr>
              <w:rPr>
                <w:sz w:val="20"/>
                <w:szCs w:val="20"/>
              </w:rPr>
            </w:pPr>
            <w:r>
              <w:rPr>
                <w:sz w:val="20"/>
                <w:szCs w:val="20"/>
              </w:rPr>
              <w:t xml:space="preserve">9. Guidance for facilitating mathematical discussion and co-construction of meaning with scaffolds in place as necessary. </w:t>
            </w:r>
          </w:p>
          <w:p w14:paraId="59B9EBE6" w14:textId="77777777" w:rsidR="00774D99" w:rsidRDefault="00774D99" w:rsidP="002E003B">
            <w:pPr>
              <w:rPr>
                <w:sz w:val="20"/>
                <w:szCs w:val="20"/>
              </w:rPr>
            </w:pPr>
          </w:p>
          <w:p w14:paraId="1AD9E880" w14:textId="0DB0FBD6" w:rsidR="00774D99" w:rsidRDefault="00774D99" w:rsidP="002E003B">
            <w:pPr>
              <w:rPr>
                <w:sz w:val="20"/>
                <w:szCs w:val="20"/>
              </w:rPr>
            </w:pPr>
          </w:p>
        </w:tc>
        <w:tc>
          <w:tcPr>
            <w:tcW w:w="3795" w:type="dxa"/>
          </w:tcPr>
          <w:p w14:paraId="12D26A0E" w14:textId="77777777" w:rsidR="00771711" w:rsidRDefault="00771711" w:rsidP="47862355">
            <w:pPr>
              <w:rPr>
                <w:b/>
                <w:bCs/>
                <w:sz w:val="20"/>
                <w:szCs w:val="20"/>
              </w:rPr>
            </w:pPr>
          </w:p>
        </w:tc>
        <w:tc>
          <w:tcPr>
            <w:tcW w:w="4085" w:type="dxa"/>
          </w:tcPr>
          <w:p w14:paraId="04707ED1" w14:textId="6836249D" w:rsidR="0FF43DF2" w:rsidRDefault="0FF43DF2" w:rsidP="0FF43DF2">
            <w:pPr>
              <w:rPr>
                <w:b/>
                <w:bCs/>
                <w:sz w:val="20"/>
                <w:szCs w:val="20"/>
              </w:rPr>
            </w:pPr>
          </w:p>
        </w:tc>
      </w:tr>
      <w:tr w:rsidR="00771711" w14:paraId="2BF3545F" w14:textId="77777777" w:rsidTr="00397F07">
        <w:tc>
          <w:tcPr>
            <w:tcW w:w="1800" w:type="dxa"/>
            <w:vMerge w:val="restart"/>
            <w:shd w:val="clear" w:color="auto" w:fill="8496B0" w:themeFill="text2" w:themeFillTint="99"/>
          </w:tcPr>
          <w:p w14:paraId="442A40D2" w14:textId="02D4B584" w:rsidR="00771711" w:rsidRPr="00FA572F" w:rsidRDefault="00771711" w:rsidP="009047F0">
            <w:pPr>
              <w:rPr>
                <w:b/>
                <w:sz w:val="20"/>
                <w:szCs w:val="20"/>
              </w:rPr>
            </w:pPr>
            <w:r>
              <w:rPr>
                <w:b/>
                <w:sz w:val="20"/>
                <w:szCs w:val="20"/>
              </w:rPr>
              <w:lastRenderedPageBreak/>
              <w:t xml:space="preserve">IV. Leveraging Students’ Assets </w:t>
            </w:r>
          </w:p>
        </w:tc>
        <w:tc>
          <w:tcPr>
            <w:tcW w:w="5460" w:type="dxa"/>
          </w:tcPr>
          <w:p w14:paraId="28821092" w14:textId="77777777" w:rsidR="00771711" w:rsidRDefault="00771711" w:rsidP="00B411B2">
            <w:pPr>
              <w:rPr>
                <w:sz w:val="20"/>
                <w:szCs w:val="20"/>
              </w:rPr>
            </w:pPr>
            <w:r>
              <w:rPr>
                <w:sz w:val="20"/>
                <w:szCs w:val="20"/>
              </w:rPr>
              <w:t xml:space="preserve">10. Opportunities to draw on and incorporate students’ cultural background and lived experiences in mathematics learning while clarifying potentially unfamiliar contexts. </w:t>
            </w:r>
          </w:p>
          <w:p w14:paraId="613CF815" w14:textId="77777777" w:rsidR="00774D99" w:rsidRDefault="00774D99" w:rsidP="00B411B2">
            <w:pPr>
              <w:rPr>
                <w:sz w:val="20"/>
                <w:szCs w:val="20"/>
              </w:rPr>
            </w:pPr>
          </w:p>
          <w:p w14:paraId="24058564" w14:textId="20C2838A" w:rsidR="00774D99" w:rsidRPr="00FA572F" w:rsidRDefault="00774D99" w:rsidP="00B411B2">
            <w:pPr>
              <w:rPr>
                <w:sz w:val="20"/>
                <w:szCs w:val="20"/>
              </w:rPr>
            </w:pPr>
          </w:p>
        </w:tc>
        <w:tc>
          <w:tcPr>
            <w:tcW w:w="3795" w:type="dxa"/>
          </w:tcPr>
          <w:p w14:paraId="5EF971C2" w14:textId="77777777" w:rsidR="00771711" w:rsidRDefault="00771711" w:rsidP="47862355">
            <w:pPr>
              <w:rPr>
                <w:b/>
                <w:bCs/>
                <w:sz w:val="20"/>
                <w:szCs w:val="20"/>
              </w:rPr>
            </w:pPr>
          </w:p>
        </w:tc>
        <w:tc>
          <w:tcPr>
            <w:tcW w:w="4085" w:type="dxa"/>
          </w:tcPr>
          <w:p w14:paraId="575BCE3E" w14:textId="6668E522" w:rsidR="0FF43DF2" w:rsidRDefault="0FF43DF2" w:rsidP="0FF43DF2">
            <w:pPr>
              <w:rPr>
                <w:b/>
                <w:bCs/>
                <w:sz w:val="20"/>
                <w:szCs w:val="20"/>
              </w:rPr>
            </w:pPr>
          </w:p>
        </w:tc>
      </w:tr>
      <w:tr w:rsidR="00771711" w14:paraId="7E3169DF" w14:textId="77777777" w:rsidTr="00397F07">
        <w:tc>
          <w:tcPr>
            <w:tcW w:w="1800" w:type="dxa"/>
            <w:vMerge/>
          </w:tcPr>
          <w:p w14:paraId="36738CA4" w14:textId="0AE60F71" w:rsidR="00771711" w:rsidRPr="00FA572F" w:rsidRDefault="00771711" w:rsidP="000E0241">
            <w:pPr>
              <w:rPr>
                <w:b/>
                <w:sz w:val="20"/>
                <w:szCs w:val="20"/>
              </w:rPr>
            </w:pPr>
          </w:p>
        </w:tc>
        <w:tc>
          <w:tcPr>
            <w:tcW w:w="5460" w:type="dxa"/>
          </w:tcPr>
          <w:p w14:paraId="56D97C71" w14:textId="77777777" w:rsidR="00771711" w:rsidRDefault="00771711" w:rsidP="00B411B2">
            <w:pPr>
              <w:rPr>
                <w:sz w:val="20"/>
                <w:szCs w:val="20"/>
              </w:rPr>
            </w:pPr>
            <w:r w:rsidRPr="05A74C2B">
              <w:rPr>
                <w:sz w:val="20"/>
                <w:szCs w:val="20"/>
              </w:rPr>
              <w:t xml:space="preserve">11. Suggestions for incorporating and valuing </w:t>
            </w:r>
            <w:r w:rsidR="629BD2B8" w:rsidRPr="05A74C2B">
              <w:rPr>
                <w:sz w:val="20"/>
                <w:szCs w:val="20"/>
              </w:rPr>
              <w:t>MLL</w:t>
            </w:r>
            <w:r w:rsidRPr="05A74C2B">
              <w:rPr>
                <w:sz w:val="20"/>
                <w:szCs w:val="20"/>
              </w:rPr>
              <w:t xml:space="preserve">s’ written and spoken contributions. Teacher materials contain specific guidance for teachers to examine their own values and beliefs about language, </w:t>
            </w:r>
            <w:r w:rsidR="70FAE550" w:rsidRPr="05A74C2B">
              <w:rPr>
                <w:sz w:val="20"/>
                <w:szCs w:val="20"/>
              </w:rPr>
              <w:t>MLL</w:t>
            </w:r>
            <w:r w:rsidRPr="05A74C2B">
              <w:rPr>
                <w:sz w:val="20"/>
                <w:szCs w:val="20"/>
              </w:rPr>
              <w:t xml:space="preserve">s, and ways in which that might impact their teaching. </w:t>
            </w:r>
          </w:p>
          <w:p w14:paraId="25B443DD" w14:textId="77777777" w:rsidR="00774D99" w:rsidRDefault="00774D99" w:rsidP="00B411B2">
            <w:pPr>
              <w:rPr>
                <w:sz w:val="20"/>
                <w:szCs w:val="20"/>
              </w:rPr>
            </w:pPr>
          </w:p>
          <w:p w14:paraId="09E75256" w14:textId="7087D2F0" w:rsidR="00774D99" w:rsidRPr="00FA572F" w:rsidRDefault="00774D99" w:rsidP="00B411B2">
            <w:pPr>
              <w:rPr>
                <w:sz w:val="20"/>
                <w:szCs w:val="20"/>
              </w:rPr>
            </w:pPr>
          </w:p>
        </w:tc>
        <w:tc>
          <w:tcPr>
            <w:tcW w:w="3795" w:type="dxa"/>
          </w:tcPr>
          <w:p w14:paraId="3B69EA4B" w14:textId="77777777" w:rsidR="00771711" w:rsidRDefault="00771711" w:rsidP="000E0241">
            <w:pPr>
              <w:rPr>
                <w:b/>
                <w:bCs/>
                <w:sz w:val="20"/>
                <w:szCs w:val="20"/>
              </w:rPr>
            </w:pPr>
          </w:p>
        </w:tc>
        <w:tc>
          <w:tcPr>
            <w:tcW w:w="4085" w:type="dxa"/>
          </w:tcPr>
          <w:p w14:paraId="6C1EC375" w14:textId="7130FC5B" w:rsidR="0FF43DF2" w:rsidRDefault="0FF43DF2" w:rsidP="0FF43DF2">
            <w:pPr>
              <w:rPr>
                <w:b/>
                <w:bCs/>
                <w:sz w:val="20"/>
                <w:szCs w:val="20"/>
              </w:rPr>
            </w:pPr>
          </w:p>
        </w:tc>
      </w:tr>
      <w:tr w:rsidR="00771711" w14:paraId="12B5CD38" w14:textId="77777777" w:rsidTr="00397F07">
        <w:tc>
          <w:tcPr>
            <w:tcW w:w="1800" w:type="dxa"/>
            <w:vMerge/>
          </w:tcPr>
          <w:p w14:paraId="0A75A147" w14:textId="77777777" w:rsidR="00771711" w:rsidRPr="00FA572F" w:rsidRDefault="00771711" w:rsidP="000E0241">
            <w:pPr>
              <w:rPr>
                <w:b/>
                <w:sz w:val="20"/>
                <w:szCs w:val="20"/>
              </w:rPr>
            </w:pPr>
          </w:p>
        </w:tc>
        <w:tc>
          <w:tcPr>
            <w:tcW w:w="5460" w:type="dxa"/>
          </w:tcPr>
          <w:p w14:paraId="4475DA00" w14:textId="77777777" w:rsidR="00771711" w:rsidRDefault="00771711" w:rsidP="00B411B2">
            <w:pPr>
              <w:rPr>
                <w:sz w:val="20"/>
                <w:szCs w:val="20"/>
              </w:rPr>
            </w:pPr>
            <w:r w:rsidRPr="05A74C2B">
              <w:rPr>
                <w:sz w:val="20"/>
                <w:szCs w:val="20"/>
              </w:rPr>
              <w:t xml:space="preserve">12. Encouragement for </w:t>
            </w:r>
            <w:r w:rsidR="5F86EC8A" w:rsidRPr="05A74C2B">
              <w:rPr>
                <w:sz w:val="20"/>
                <w:szCs w:val="20"/>
              </w:rPr>
              <w:t>MLL</w:t>
            </w:r>
            <w:r w:rsidRPr="05A74C2B">
              <w:rPr>
                <w:sz w:val="20"/>
                <w:szCs w:val="20"/>
              </w:rPr>
              <w:t xml:space="preserve">s to use and build on existing language resources. Allow students to explain math concepts in home language and opportunities to share their own methods. </w:t>
            </w:r>
          </w:p>
          <w:p w14:paraId="3DF2BB03" w14:textId="77777777" w:rsidR="00774D99" w:rsidRDefault="00774D99" w:rsidP="00B411B2">
            <w:pPr>
              <w:rPr>
                <w:sz w:val="20"/>
                <w:szCs w:val="20"/>
              </w:rPr>
            </w:pPr>
          </w:p>
          <w:p w14:paraId="5DB8E966" w14:textId="78390145" w:rsidR="00774D99" w:rsidRPr="00FA572F" w:rsidRDefault="00774D99" w:rsidP="00B411B2">
            <w:pPr>
              <w:rPr>
                <w:sz w:val="20"/>
                <w:szCs w:val="20"/>
              </w:rPr>
            </w:pPr>
          </w:p>
        </w:tc>
        <w:tc>
          <w:tcPr>
            <w:tcW w:w="3795" w:type="dxa"/>
          </w:tcPr>
          <w:p w14:paraId="5B78A50C" w14:textId="77777777" w:rsidR="00771711" w:rsidRDefault="00771711" w:rsidP="000E0241">
            <w:pPr>
              <w:rPr>
                <w:b/>
                <w:bCs/>
                <w:sz w:val="20"/>
                <w:szCs w:val="20"/>
              </w:rPr>
            </w:pPr>
          </w:p>
        </w:tc>
        <w:tc>
          <w:tcPr>
            <w:tcW w:w="4085" w:type="dxa"/>
          </w:tcPr>
          <w:p w14:paraId="123B12FE" w14:textId="3A9CFC69" w:rsidR="0FF43DF2" w:rsidRDefault="0FF43DF2" w:rsidP="0FF43DF2">
            <w:pPr>
              <w:rPr>
                <w:b/>
                <w:bCs/>
                <w:sz w:val="20"/>
                <w:szCs w:val="20"/>
              </w:rPr>
            </w:pPr>
          </w:p>
        </w:tc>
      </w:tr>
      <w:tr w:rsidR="00771711" w14:paraId="2B3D69D0" w14:textId="77777777" w:rsidTr="00397F07">
        <w:tc>
          <w:tcPr>
            <w:tcW w:w="1800" w:type="dxa"/>
            <w:vMerge w:val="restart"/>
            <w:shd w:val="clear" w:color="auto" w:fill="FFD966" w:themeFill="accent4" w:themeFillTint="99"/>
          </w:tcPr>
          <w:p w14:paraId="4E1DBE62" w14:textId="3EE7C02C" w:rsidR="00771711" w:rsidRPr="00FA572F" w:rsidRDefault="00771711" w:rsidP="000E0241">
            <w:pPr>
              <w:rPr>
                <w:b/>
                <w:sz w:val="20"/>
                <w:szCs w:val="20"/>
              </w:rPr>
            </w:pPr>
            <w:r>
              <w:rPr>
                <w:b/>
                <w:sz w:val="20"/>
                <w:szCs w:val="20"/>
              </w:rPr>
              <w:t>V. Assessment of Mathematical Content, Practices, and Language</w:t>
            </w:r>
          </w:p>
        </w:tc>
        <w:tc>
          <w:tcPr>
            <w:tcW w:w="5460" w:type="dxa"/>
          </w:tcPr>
          <w:p w14:paraId="1C8983CB" w14:textId="77777777" w:rsidR="00771711" w:rsidRDefault="00771711" w:rsidP="00B411B2">
            <w:pPr>
              <w:rPr>
                <w:sz w:val="20"/>
                <w:szCs w:val="20"/>
              </w:rPr>
            </w:pPr>
            <w:r>
              <w:rPr>
                <w:sz w:val="20"/>
                <w:szCs w:val="20"/>
              </w:rPr>
              <w:t>13. Descriptions, illustrations, and examples of quality work and mathematical practices with varying levels of language proficiency.</w:t>
            </w:r>
          </w:p>
          <w:p w14:paraId="0E7DD28D" w14:textId="77777777" w:rsidR="00774D99" w:rsidRDefault="00774D99" w:rsidP="00B411B2">
            <w:pPr>
              <w:rPr>
                <w:sz w:val="20"/>
                <w:szCs w:val="20"/>
              </w:rPr>
            </w:pPr>
          </w:p>
          <w:p w14:paraId="661DA697" w14:textId="6291CD4C" w:rsidR="00774D99" w:rsidRPr="00FA572F" w:rsidRDefault="00774D99" w:rsidP="00B411B2">
            <w:pPr>
              <w:rPr>
                <w:sz w:val="20"/>
                <w:szCs w:val="20"/>
              </w:rPr>
            </w:pPr>
          </w:p>
        </w:tc>
        <w:tc>
          <w:tcPr>
            <w:tcW w:w="3795" w:type="dxa"/>
          </w:tcPr>
          <w:p w14:paraId="517D5B1E" w14:textId="77777777" w:rsidR="00771711" w:rsidRDefault="00771711" w:rsidP="000E0241">
            <w:pPr>
              <w:rPr>
                <w:b/>
                <w:bCs/>
                <w:sz w:val="20"/>
                <w:szCs w:val="20"/>
              </w:rPr>
            </w:pPr>
          </w:p>
        </w:tc>
        <w:tc>
          <w:tcPr>
            <w:tcW w:w="4085" w:type="dxa"/>
          </w:tcPr>
          <w:p w14:paraId="7CCB1DAE" w14:textId="6BE0E90C" w:rsidR="0FF43DF2" w:rsidRDefault="0FF43DF2" w:rsidP="0FF43DF2">
            <w:pPr>
              <w:rPr>
                <w:b/>
                <w:bCs/>
                <w:sz w:val="20"/>
                <w:szCs w:val="20"/>
              </w:rPr>
            </w:pPr>
          </w:p>
        </w:tc>
      </w:tr>
      <w:tr w:rsidR="00771711" w14:paraId="10214A81" w14:textId="77777777" w:rsidTr="00397F07">
        <w:tc>
          <w:tcPr>
            <w:tcW w:w="1800" w:type="dxa"/>
            <w:vMerge/>
          </w:tcPr>
          <w:p w14:paraId="0FBE108B" w14:textId="2C56EDBE" w:rsidR="00771711" w:rsidRPr="00FA572F" w:rsidRDefault="00771711" w:rsidP="000E0241">
            <w:pPr>
              <w:rPr>
                <w:b/>
                <w:sz w:val="20"/>
                <w:szCs w:val="20"/>
              </w:rPr>
            </w:pPr>
          </w:p>
        </w:tc>
        <w:tc>
          <w:tcPr>
            <w:tcW w:w="5460" w:type="dxa"/>
          </w:tcPr>
          <w:p w14:paraId="61C50D28" w14:textId="77777777" w:rsidR="00771711" w:rsidRDefault="00771711" w:rsidP="00B411B2">
            <w:pPr>
              <w:rPr>
                <w:sz w:val="20"/>
                <w:szCs w:val="20"/>
              </w:rPr>
            </w:pPr>
            <w:r>
              <w:rPr>
                <w:sz w:val="20"/>
                <w:szCs w:val="20"/>
              </w:rPr>
              <w:t xml:space="preserve">14. Assessments able to capture and measure students’ mathematics and language progress over time. Rubrics include language achievement along with math content. </w:t>
            </w:r>
          </w:p>
          <w:p w14:paraId="32085082" w14:textId="77777777" w:rsidR="00774D99" w:rsidRDefault="00774D99" w:rsidP="00B411B2">
            <w:pPr>
              <w:rPr>
                <w:sz w:val="20"/>
                <w:szCs w:val="20"/>
              </w:rPr>
            </w:pPr>
          </w:p>
          <w:p w14:paraId="098D53C8" w14:textId="5F96AA18" w:rsidR="00774D99" w:rsidRPr="00FA572F" w:rsidRDefault="00774D99" w:rsidP="00B411B2">
            <w:pPr>
              <w:rPr>
                <w:sz w:val="20"/>
                <w:szCs w:val="20"/>
              </w:rPr>
            </w:pPr>
          </w:p>
        </w:tc>
        <w:tc>
          <w:tcPr>
            <w:tcW w:w="3795" w:type="dxa"/>
          </w:tcPr>
          <w:p w14:paraId="2E694122" w14:textId="77777777" w:rsidR="00771711" w:rsidRDefault="00771711" w:rsidP="000E0241">
            <w:pPr>
              <w:rPr>
                <w:b/>
                <w:bCs/>
                <w:sz w:val="20"/>
                <w:szCs w:val="20"/>
              </w:rPr>
            </w:pPr>
          </w:p>
        </w:tc>
        <w:tc>
          <w:tcPr>
            <w:tcW w:w="4085" w:type="dxa"/>
          </w:tcPr>
          <w:p w14:paraId="0F1431C2" w14:textId="677B23D8" w:rsidR="0FF43DF2" w:rsidRDefault="0FF43DF2" w:rsidP="0FF43DF2">
            <w:pPr>
              <w:rPr>
                <w:b/>
                <w:bCs/>
                <w:sz w:val="20"/>
                <w:szCs w:val="20"/>
              </w:rPr>
            </w:pPr>
          </w:p>
        </w:tc>
      </w:tr>
      <w:tr w:rsidR="00771711" w14:paraId="6DA8D265" w14:textId="77777777" w:rsidTr="00397F07">
        <w:tc>
          <w:tcPr>
            <w:tcW w:w="1800" w:type="dxa"/>
            <w:vMerge/>
          </w:tcPr>
          <w:p w14:paraId="7654EF43" w14:textId="0AB72E34" w:rsidR="00771711" w:rsidRPr="00FA572F" w:rsidRDefault="00771711" w:rsidP="000E0241">
            <w:pPr>
              <w:rPr>
                <w:b/>
                <w:sz w:val="20"/>
                <w:szCs w:val="20"/>
              </w:rPr>
            </w:pPr>
          </w:p>
        </w:tc>
        <w:tc>
          <w:tcPr>
            <w:tcW w:w="5460" w:type="dxa"/>
          </w:tcPr>
          <w:p w14:paraId="5AE9B22F" w14:textId="77777777" w:rsidR="00771711" w:rsidRDefault="00771711" w:rsidP="00B411B2">
            <w:pPr>
              <w:rPr>
                <w:sz w:val="20"/>
                <w:szCs w:val="20"/>
              </w:rPr>
            </w:pPr>
            <w:r>
              <w:rPr>
                <w:sz w:val="20"/>
                <w:szCs w:val="20"/>
              </w:rPr>
              <w:t>15. Guidance for recognizing and attending to student language produced to inform instructional decisions</w:t>
            </w:r>
          </w:p>
          <w:p w14:paraId="50DB53D2" w14:textId="585B390B" w:rsidR="00771711" w:rsidRDefault="00771711" w:rsidP="00123F74">
            <w:pPr>
              <w:pStyle w:val="ListParagraph"/>
              <w:numPr>
                <w:ilvl w:val="0"/>
                <w:numId w:val="7"/>
              </w:numPr>
              <w:rPr>
                <w:sz w:val="20"/>
                <w:szCs w:val="20"/>
              </w:rPr>
            </w:pPr>
            <w:r>
              <w:rPr>
                <w:sz w:val="20"/>
                <w:szCs w:val="20"/>
              </w:rPr>
              <w:t>Teacher materials instruct teachers to avoid interpreting lower level language proficiency as lower level mathematics proficiency and to score them separately on assessment</w:t>
            </w:r>
            <w:r w:rsidR="00202A34">
              <w:rPr>
                <w:sz w:val="20"/>
                <w:szCs w:val="20"/>
              </w:rPr>
              <w:t>.</w:t>
            </w:r>
          </w:p>
          <w:p w14:paraId="336BD66D" w14:textId="3ABF1D7F" w:rsidR="00774D99" w:rsidRPr="00774D99" w:rsidRDefault="00774D99" w:rsidP="00774D99">
            <w:pPr>
              <w:rPr>
                <w:sz w:val="20"/>
                <w:szCs w:val="20"/>
              </w:rPr>
            </w:pPr>
          </w:p>
        </w:tc>
        <w:tc>
          <w:tcPr>
            <w:tcW w:w="3795" w:type="dxa"/>
          </w:tcPr>
          <w:p w14:paraId="7223FC1B" w14:textId="77777777" w:rsidR="00771711" w:rsidRDefault="00771711" w:rsidP="000E0241">
            <w:pPr>
              <w:rPr>
                <w:b/>
                <w:bCs/>
                <w:sz w:val="20"/>
                <w:szCs w:val="20"/>
              </w:rPr>
            </w:pPr>
          </w:p>
        </w:tc>
        <w:tc>
          <w:tcPr>
            <w:tcW w:w="4085" w:type="dxa"/>
          </w:tcPr>
          <w:p w14:paraId="2583536C" w14:textId="37F0DBCB" w:rsidR="0FF43DF2" w:rsidRDefault="0FF43DF2" w:rsidP="0FF43DF2">
            <w:pPr>
              <w:rPr>
                <w:b/>
                <w:bCs/>
                <w:sz w:val="20"/>
                <w:szCs w:val="20"/>
              </w:rPr>
            </w:pPr>
          </w:p>
        </w:tc>
      </w:tr>
    </w:tbl>
    <w:p w14:paraId="0B7954E9" w14:textId="5EB23047" w:rsidR="00D77A2A" w:rsidRDefault="00D77A2A" w:rsidP="009047F0">
      <w:pPr>
        <w:spacing w:after="0"/>
        <w:rPr>
          <w:sz w:val="24"/>
          <w:szCs w:val="24"/>
        </w:rPr>
      </w:pPr>
    </w:p>
    <w:p w14:paraId="74F2FBA4" w14:textId="6D7F4131" w:rsidR="006B54BC" w:rsidRPr="00227F6F" w:rsidRDefault="006B54BC" w:rsidP="009047F0">
      <w:pPr>
        <w:spacing w:after="0"/>
        <w:rPr>
          <w:sz w:val="20"/>
          <w:szCs w:val="20"/>
        </w:rPr>
      </w:pPr>
      <w:r w:rsidRPr="00227F6F">
        <w:rPr>
          <w:sz w:val="20"/>
          <w:szCs w:val="20"/>
        </w:rPr>
        <w:t xml:space="preserve">Adapted from English Learners Success Forum: </w:t>
      </w:r>
      <w:hyperlink r:id="rId10" w:history="1">
        <w:r w:rsidRPr="00227F6F">
          <w:rPr>
            <w:rStyle w:val="Hyperlink"/>
            <w:sz w:val="20"/>
            <w:szCs w:val="20"/>
          </w:rPr>
          <w:t>Guideline for Improving Math Materials for English Learners</w:t>
        </w:r>
      </w:hyperlink>
      <w:r w:rsidRPr="00227F6F">
        <w:rPr>
          <w:sz w:val="20"/>
          <w:szCs w:val="20"/>
        </w:rPr>
        <w:t xml:space="preserve"> </w:t>
      </w:r>
    </w:p>
    <w:sectPr w:rsidR="006B54BC" w:rsidRPr="00227F6F" w:rsidSect="00771711">
      <w:headerReference w:type="default" r:id="rId11"/>
      <w:pgSz w:w="15840" w:h="12240" w:orient="landscape"/>
      <w:pgMar w:top="720" w:right="432"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D8DBB" w14:textId="77777777" w:rsidR="00667465" w:rsidRDefault="00667465" w:rsidP="006B54BC">
      <w:pPr>
        <w:spacing w:after="0" w:line="240" w:lineRule="auto"/>
      </w:pPr>
      <w:r>
        <w:separator/>
      </w:r>
    </w:p>
  </w:endnote>
  <w:endnote w:type="continuationSeparator" w:id="0">
    <w:p w14:paraId="6C069B31" w14:textId="77777777" w:rsidR="00667465" w:rsidRDefault="00667465" w:rsidP="006B5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C577B" w14:textId="77777777" w:rsidR="00667465" w:rsidRDefault="00667465" w:rsidP="006B54BC">
      <w:pPr>
        <w:spacing w:after="0" w:line="240" w:lineRule="auto"/>
      </w:pPr>
      <w:r>
        <w:separator/>
      </w:r>
    </w:p>
  </w:footnote>
  <w:footnote w:type="continuationSeparator" w:id="0">
    <w:p w14:paraId="61C2900C" w14:textId="77777777" w:rsidR="00667465" w:rsidRDefault="00667465" w:rsidP="006B5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1ED48" w14:textId="0853706E" w:rsidR="006B54BC" w:rsidRDefault="00930482">
    <w:pPr>
      <w:pStyle w:val="Header"/>
    </w:pPr>
    <w:r>
      <w:rPr>
        <w:noProof/>
      </w:rPr>
      <w:drawing>
        <wp:inline distT="0" distB="0" distL="0" distR="0" wp14:anchorId="040CE07D" wp14:editId="7D0CDB8C">
          <wp:extent cx="1272208" cy="307453"/>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6-23 at 5.19.11 PM.png"/>
                  <pic:cNvPicPr/>
                </pic:nvPicPr>
                <pic:blipFill rotWithShape="1">
                  <a:blip r:embed="rId1">
                    <a:extLst>
                      <a:ext uri="{28A0092B-C50C-407E-A947-70E740481C1C}">
                        <a14:useLocalDpi xmlns:a14="http://schemas.microsoft.com/office/drawing/2010/main" val="0"/>
                      </a:ext>
                    </a:extLst>
                  </a:blip>
                  <a:srcRect l="1184" t="5002" b="-1"/>
                  <a:stretch/>
                </pic:blipFill>
                <pic:spPr bwMode="auto">
                  <a:xfrm>
                    <a:off x="0" y="0"/>
                    <a:ext cx="1313242" cy="31737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64B07"/>
    <w:multiLevelType w:val="hybridMultilevel"/>
    <w:tmpl w:val="60FAD77E"/>
    <w:lvl w:ilvl="0" w:tplc="3AB0EC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20D97"/>
    <w:multiLevelType w:val="hybridMultilevel"/>
    <w:tmpl w:val="1A38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F76AB"/>
    <w:multiLevelType w:val="hybridMultilevel"/>
    <w:tmpl w:val="9898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46791"/>
    <w:multiLevelType w:val="hybridMultilevel"/>
    <w:tmpl w:val="00D89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46B41"/>
    <w:multiLevelType w:val="hybridMultilevel"/>
    <w:tmpl w:val="466E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C74CD"/>
    <w:multiLevelType w:val="hybridMultilevel"/>
    <w:tmpl w:val="F9CA4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C65FE"/>
    <w:multiLevelType w:val="hybridMultilevel"/>
    <w:tmpl w:val="09F8BFB4"/>
    <w:lvl w:ilvl="0" w:tplc="C42410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B4A34"/>
    <w:multiLevelType w:val="hybridMultilevel"/>
    <w:tmpl w:val="EE34D93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3BF73FD0"/>
    <w:multiLevelType w:val="hybridMultilevel"/>
    <w:tmpl w:val="8304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402BE6"/>
    <w:multiLevelType w:val="hybridMultilevel"/>
    <w:tmpl w:val="9BE8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B271E"/>
    <w:multiLevelType w:val="hybridMultilevel"/>
    <w:tmpl w:val="ECBC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3B4258"/>
    <w:multiLevelType w:val="hybridMultilevel"/>
    <w:tmpl w:val="EAAA0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11"/>
  </w:num>
  <w:num w:numId="6">
    <w:abstractNumId w:val="10"/>
  </w:num>
  <w:num w:numId="7">
    <w:abstractNumId w:val="5"/>
  </w:num>
  <w:num w:numId="8">
    <w:abstractNumId w:val="3"/>
  </w:num>
  <w:num w:numId="9">
    <w:abstractNumId w:val="7"/>
  </w:num>
  <w:num w:numId="10">
    <w:abstractNumId w:val="9"/>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007198"/>
    <w:rsid w:val="00000884"/>
    <w:rsid w:val="0001311B"/>
    <w:rsid w:val="000A151F"/>
    <w:rsid w:val="000E0241"/>
    <w:rsid w:val="000E556C"/>
    <w:rsid w:val="00123F74"/>
    <w:rsid w:val="0014239B"/>
    <w:rsid w:val="00166A0D"/>
    <w:rsid w:val="001F2825"/>
    <w:rsid w:val="00202A34"/>
    <w:rsid w:val="00227F6F"/>
    <w:rsid w:val="002E003B"/>
    <w:rsid w:val="00322C18"/>
    <w:rsid w:val="00322CD5"/>
    <w:rsid w:val="00351676"/>
    <w:rsid w:val="00397F07"/>
    <w:rsid w:val="00442472"/>
    <w:rsid w:val="0056159B"/>
    <w:rsid w:val="00596BF8"/>
    <w:rsid w:val="005B4C73"/>
    <w:rsid w:val="00667465"/>
    <w:rsid w:val="006A6D1F"/>
    <w:rsid w:val="006B3F4C"/>
    <w:rsid w:val="006B50A4"/>
    <w:rsid w:val="006B54BC"/>
    <w:rsid w:val="00714C08"/>
    <w:rsid w:val="00771711"/>
    <w:rsid w:val="00774D99"/>
    <w:rsid w:val="007760A5"/>
    <w:rsid w:val="007D62BA"/>
    <w:rsid w:val="00817AA7"/>
    <w:rsid w:val="008C6926"/>
    <w:rsid w:val="009047F0"/>
    <w:rsid w:val="00930482"/>
    <w:rsid w:val="00981099"/>
    <w:rsid w:val="00A66D9B"/>
    <w:rsid w:val="00AF7515"/>
    <w:rsid w:val="00B411B2"/>
    <w:rsid w:val="00B64F05"/>
    <w:rsid w:val="00C16556"/>
    <w:rsid w:val="00CF468B"/>
    <w:rsid w:val="00D5215F"/>
    <w:rsid w:val="00D77A2A"/>
    <w:rsid w:val="00D9037B"/>
    <w:rsid w:val="00E340DD"/>
    <w:rsid w:val="00EA24B2"/>
    <w:rsid w:val="00FA572F"/>
    <w:rsid w:val="00FF0B61"/>
    <w:rsid w:val="05A74C2B"/>
    <w:rsid w:val="0FF43DF2"/>
    <w:rsid w:val="1725D78C"/>
    <w:rsid w:val="2060C17B"/>
    <w:rsid w:val="2578D963"/>
    <w:rsid w:val="388FE851"/>
    <w:rsid w:val="39FDF721"/>
    <w:rsid w:val="40FFF2E4"/>
    <w:rsid w:val="460BC8C5"/>
    <w:rsid w:val="47862355"/>
    <w:rsid w:val="5083D268"/>
    <w:rsid w:val="589DBC4F"/>
    <w:rsid w:val="59D1E285"/>
    <w:rsid w:val="5F86EC8A"/>
    <w:rsid w:val="604986D1"/>
    <w:rsid w:val="60B1DEEA"/>
    <w:rsid w:val="629BD2B8"/>
    <w:rsid w:val="64A16073"/>
    <w:rsid w:val="6693BDDC"/>
    <w:rsid w:val="68E8049B"/>
    <w:rsid w:val="6C0C9A4A"/>
    <w:rsid w:val="70FAE550"/>
    <w:rsid w:val="720B7B40"/>
    <w:rsid w:val="72844C7C"/>
    <w:rsid w:val="72ACC9A1"/>
    <w:rsid w:val="7B7BC39F"/>
    <w:rsid w:val="7D007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3BDDC"/>
  <w15:chartTrackingRefBased/>
  <w15:docId w15:val="{BF170945-FC05-46D0-BC77-67A7697F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7F0"/>
    <w:pPr>
      <w:ind w:left="720"/>
      <w:contextualSpacing/>
    </w:pPr>
  </w:style>
  <w:style w:type="table" w:styleId="TableGrid">
    <w:name w:val="Table Grid"/>
    <w:basedOn w:val="TableNormal"/>
    <w:uiPriority w:val="39"/>
    <w:rsid w:val="00904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159B"/>
    <w:rPr>
      <w:color w:val="0563C1" w:themeColor="hyperlink"/>
      <w:u w:val="single"/>
    </w:rPr>
  </w:style>
  <w:style w:type="paragraph" w:styleId="BalloonText">
    <w:name w:val="Balloon Text"/>
    <w:basedOn w:val="Normal"/>
    <w:link w:val="BalloonTextChar"/>
    <w:uiPriority w:val="99"/>
    <w:semiHidden/>
    <w:unhideWhenUsed/>
    <w:rsid w:val="005615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59B"/>
    <w:rPr>
      <w:rFonts w:ascii="Segoe UI" w:hAnsi="Segoe UI" w:cs="Segoe UI"/>
      <w:sz w:val="18"/>
      <w:szCs w:val="18"/>
    </w:rPr>
  </w:style>
  <w:style w:type="paragraph" w:styleId="Header">
    <w:name w:val="header"/>
    <w:basedOn w:val="Normal"/>
    <w:link w:val="HeaderChar"/>
    <w:uiPriority w:val="99"/>
    <w:unhideWhenUsed/>
    <w:rsid w:val="006B5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4BC"/>
  </w:style>
  <w:style w:type="paragraph" w:styleId="Footer">
    <w:name w:val="footer"/>
    <w:basedOn w:val="Normal"/>
    <w:link w:val="FooterChar"/>
    <w:uiPriority w:val="99"/>
    <w:unhideWhenUsed/>
    <w:rsid w:val="006B5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4BC"/>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lsuccessforum.org/resource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e0ec619-8853-4e71-9286-599a9bfcd64a">
      <UserInfo>
        <DisplayName>Klein, Emily</DisplayName>
        <AccountId>18</AccountId>
        <AccountType/>
      </UserInfo>
      <UserInfo>
        <DisplayName>Ochs, Daniel</DisplayName>
        <AccountId>26</AccountId>
        <AccountType/>
      </UserInfo>
      <UserInfo>
        <DisplayName>Schulz, Kate</DisplayName>
        <AccountId>10</AccountId>
        <AccountType/>
      </UserInfo>
      <UserInfo>
        <DisplayName>Molea Baker, Flavia</DisplayName>
        <AccountId>29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8021E66F4ED9469B8E2B0D768E6ABA" ma:contentTypeVersion="12" ma:contentTypeDescription="Create a new document." ma:contentTypeScope="" ma:versionID="b02132002bb372f418b82221e95eba63">
  <xsd:schema xmlns:xsd="http://www.w3.org/2001/XMLSchema" xmlns:xs="http://www.w3.org/2001/XMLSchema" xmlns:p="http://schemas.microsoft.com/office/2006/metadata/properties" xmlns:ns2="e339fe60-6b46-405c-96b9-25a91f25abe1" xmlns:ns3="be0ec619-8853-4e71-9286-599a9bfcd64a" targetNamespace="http://schemas.microsoft.com/office/2006/metadata/properties" ma:root="true" ma:fieldsID="da88cb9d9b4d0152daf44a8fe73c1626" ns2:_="" ns3:_="">
    <xsd:import namespace="e339fe60-6b46-405c-96b9-25a91f25abe1"/>
    <xsd:import namespace="be0ec619-8853-4e71-9286-599a9bfcd6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9fe60-6b46-405c-96b9-25a91f25abe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0ec619-8853-4e71-9286-599a9bfcd64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0ACE84-79FE-43CA-9F90-8BC0B0932365}">
  <ds:schemaRefs>
    <ds:schemaRef ds:uri="http://schemas.microsoft.com/office/2006/metadata/properties"/>
    <ds:schemaRef ds:uri="http://schemas.microsoft.com/office/infopath/2007/PartnerControls"/>
    <ds:schemaRef ds:uri="be0ec619-8853-4e71-9286-599a9bfcd64a"/>
  </ds:schemaRefs>
</ds:datastoreItem>
</file>

<file path=customXml/itemProps2.xml><?xml version="1.0" encoding="utf-8"?>
<ds:datastoreItem xmlns:ds="http://schemas.openxmlformats.org/officeDocument/2006/customXml" ds:itemID="{5AB9DA80-9F21-43CB-B48C-B4D30A602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9fe60-6b46-405c-96b9-25a91f25abe1"/>
    <ds:schemaRef ds:uri="be0ec619-8853-4e71-9286-599a9bfcd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ACE180-269A-49FB-A61D-D4160DA4D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638</Words>
  <Characters>3637</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Jodi</dc:creator>
  <cp:keywords/>
  <dc:description/>
  <cp:lastModifiedBy>LaBounty-McNair, Steven</cp:lastModifiedBy>
  <cp:revision>2</cp:revision>
  <cp:lastPrinted>2019-04-05T14:05:00Z</cp:lastPrinted>
  <dcterms:created xsi:type="dcterms:W3CDTF">2020-06-25T13:43:00Z</dcterms:created>
  <dcterms:modified xsi:type="dcterms:W3CDTF">2020-06-25T13:43:00Z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0x010100A38021E66F4ED9469B8E2B0D768E6ABA</vt:lpwstr>
  </property>
  <property fmtid="{D5CDD505-2E9C-101B-9397-08002B2CF9AE}" pid="3" name="AuthorIds_UIVersion_3072">
    <vt:lpwstr>28</vt:lpwstr>
  </property>
</Properties>
</file>