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92B71" w14:textId="77777777" w:rsidR="00E93E4C" w:rsidRPr="00E93E4C" w:rsidRDefault="00D12B6D" w:rsidP="00E93E4C">
      <w:pPr>
        <w:spacing w:after="0"/>
        <w:jc w:val="center"/>
        <w:rPr>
          <w:b/>
          <w:color w:val="1F497D" w:themeColor="text2"/>
          <w:sz w:val="28"/>
          <w:szCs w:val="28"/>
        </w:rPr>
      </w:pPr>
      <w:r w:rsidRPr="00E93E4C">
        <w:rPr>
          <w:b/>
          <w:color w:val="1F497D" w:themeColor="text2"/>
          <w:sz w:val="28"/>
          <w:szCs w:val="28"/>
        </w:rPr>
        <w:t>R</w:t>
      </w:r>
      <w:r w:rsidR="00E93E4C" w:rsidRPr="00E93E4C">
        <w:rPr>
          <w:b/>
          <w:color w:val="1F497D" w:themeColor="text2"/>
          <w:sz w:val="28"/>
          <w:szCs w:val="28"/>
        </w:rPr>
        <w:t xml:space="preserve">hode Island </w:t>
      </w:r>
      <w:r w:rsidRPr="00E93E4C">
        <w:rPr>
          <w:b/>
          <w:color w:val="1F497D" w:themeColor="text2"/>
          <w:sz w:val="28"/>
          <w:szCs w:val="28"/>
        </w:rPr>
        <w:t>21</w:t>
      </w:r>
      <w:r w:rsidRPr="00E93E4C">
        <w:rPr>
          <w:b/>
          <w:color w:val="1F497D" w:themeColor="text2"/>
          <w:sz w:val="28"/>
          <w:szCs w:val="28"/>
          <w:vertAlign w:val="superscript"/>
        </w:rPr>
        <w:t>st</w:t>
      </w:r>
      <w:r w:rsidRPr="00E93E4C">
        <w:rPr>
          <w:b/>
          <w:color w:val="1F497D" w:themeColor="text2"/>
          <w:sz w:val="28"/>
          <w:szCs w:val="28"/>
        </w:rPr>
        <w:t xml:space="preserve"> Century </w:t>
      </w:r>
      <w:r w:rsidR="001E41BA" w:rsidRPr="00E93E4C">
        <w:rPr>
          <w:b/>
          <w:color w:val="1F497D" w:themeColor="text2"/>
          <w:sz w:val="28"/>
          <w:szCs w:val="28"/>
        </w:rPr>
        <w:t>Community Learning Center</w:t>
      </w:r>
      <w:r w:rsidR="00E93E4C" w:rsidRPr="00E93E4C">
        <w:rPr>
          <w:b/>
          <w:color w:val="1F497D" w:themeColor="text2"/>
          <w:sz w:val="28"/>
          <w:szCs w:val="28"/>
        </w:rPr>
        <w:t xml:space="preserve"> (21</w:t>
      </w:r>
      <w:r w:rsidR="00E93E4C" w:rsidRPr="00E93E4C">
        <w:rPr>
          <w:b/>
          <w:color w:val="1F497D" w:themeColor="text2"/>
          <w:sz w:val="28"/>
          <w:szCs w:val="28"/>
          <w:vertAlign w:val="superscript"/>
        </w:rPr>
        <w:t>st</w:t>
      </w:r>
      <w:r w:rsidR="00E93E4C" w:rsidRPr="00E93E4C">
        <w:rPr>
          <w:b/>
          <w:color w:val="1F497D" w:themeColor="text2"/>
          <w:sz w:val="28"/>
          <w:szCs w:val="28"/>
        </w:rPr>
        <w:t xml:space="preserve"> CCLC) grant</w:t>
      </w:r>
    </w:p>
    <w:p w14:paraId="4D563195" w14:textId="77777777" w:rsidR="00E93E4C" w:rsidRPr="00E93E4C" w:rsidRDefault="006F5349" w:rsidP="00E93E4C">
      <w:pPr>
        <w:spacing w:after="0"/>
        <w:jc w:val="center"/>
        <w:rPr>
          <w:b/>
          <w:color w:val="1F497D" w:themeColor="text2"/>
          <w:sz w:val="28"/>
          <w:szCs w:val="28"/>
        </w:rPr>
      </w:pPr>
      <w:r w:rsidRPr="00E93E4C">
        <w:rPr>
          <w:b/>
          <w:color w:val="1F497D" w:themeColor="text2"/>
          <w:sz w:val="28"/>
          <w:szCs w:val="28"/>
        </w:rPr>
        <w:t xml:space="preserve">Equipment </w:t>
      </w:r>
      <w:r w:rsidR="00E93E4C" w:rsidRPr="00E93E4C">
        <w:rPr>
          <w:b/>
          <w:color w:val="1F497D" w:themeColor="text2"/>
          <w:sz w:val="28"/>
          <w:szCs w:val="28"/>
        </w:rPr>
        <w:t>Guid</w:t>
      </w:r>
      <w:r w:rsidR="00D12B6D" w:rsidRPr="00E93E4C">
        <w:rPr>
          <w:b/>
          <w:color w:val="1F497D" w:themeColor="text2"/>
          <w:sz w:val="28"/>
          <w:szCs w:val="28"/>
        </w:rPr>
        <w:t>e</w:t>
      </w:r>
    </w:p>
    <w:p w14:paraId="54A661AB" w14:textId="36F0C22E" w:rsidR="00D12B6D" w:rsidRPr="00E93E4C" w:rsidRDefault="00DE6C04" w:rsidP="00E93E4C">
      <w:pPr>
        <w:spacing w:after="0"/>
        <w:jc w:val="center"/>
        <w:rPr>
          <w:b/>
          <w:color w:val="1F497D" w:themeColor="text2"/>
          <w:sz w:val="28"/>
          <w:szCs w:val="28"/>
        </w:rPr>
      </w:pPr>
      <w:r w:rsidRPr="00E93E4C">
        <w:rPr>
          <w:b/>
          <w:color w:val="1F497D" w:themeColor="text2"/>
          <w:sz w:val="28"/>
          <w:szCs w:val="28"/>
        </w:rPr>
        <w:t>Updated January 2019</w:t>
      </w:r>
    </w:p>
    <w:p w14:paraId="5921F7E7" w14:textId="77777777" w:rsidR="00E93E4C" w:rsidRDefault="00E93E4C" w:rsidP="00E93E4C">
      <w:pPr>
        <w:spacing w:after="0"/>
        <w:rPr>
          <w:b/>
          <w:color w:val="1F497D" w:themeColor="text2"/>
        </w:rPr>
      </w:pPr>
    </w:p>
    <w:p w14:paraId="54A661AC" w14:textId="1040ED21" w:rsidR="009D69B0" w:rsidRPr="00E93E4C" w:rsidRDefault="007D7139" w:rsidP="00E93E4C">
      <w:pPr>
        <w:spacing w:after="0"/>
        <w:rPr>
          <w:b/>
          <w:color w:val="1F497D" w:themeColor="text2"/>
        </w:rPr>
      </w:pPr>
      <w:r>
        <w:rPr>
          <w:b/>
          <w:color w:val="1F497D" w:themeColor="text2"/>
        </w:rPr>
        <w:t>Purpose</w:t>
      </w:r>
      <w:bookmarkStart w:id="0" w:name="_GoBack"/>
      <w:bookmarkEnd w:id="0"/>
    </w:p>
    <w:p w14:paraId="54A661AD" w14:textId="50624D99" w:rsidR="009D69B0" w:rsidRPr="00E93E4C" w:rsidRDefault="00DE6C04" w:rsidP="00E93E4C">
      <w:pPr>
        <w:spacing w:after="0"/>
      </w:pPr>
      <w:r w:rsidRPr="00E93E4C">
        <w:t>Federal regulations allow for the use of 21</w:t>
      </w:r>
      <w:r w:rsidRPr="00E93E4C">
        <w:rPr>
          <w:vertAlign w:val="superscript"/>
        </w:rPr>
        <w:t>st</w:t>
      </w:r>
      <w:r w:rsidRPr="00E93E4C">
        <w:t xml:space="preserve"> Century Community Learning Center (21</w:t>
      </w:r>
      <w:r w:rsidRPr="00E93E4C">
        <w:rPr>
          <w:vertAlign w:val="superscript"/>
        </w:rPr>
        <w:t>st</w:t>
      </w:r>
      <w:r w:rsidRPr="00E93E4C">
        <w:t xml:space="preserve"> CCLC) grant funding to be used for the purchase of equipment. Certain requirements apply. </w:t>
      </w:r>
    </w:p>
    <w:p w14:paraId="54CBA52D" w14:textId="77777777" w:rsidR="00A268D4" w:rsidRPr="00E93E4C" w:rsidRDefault="00A268D4" w:rsidP="00E93E4C">
      <w:pPr>
        <w:spacing w:after="0"/>
      </w:pPr>
    </w:p>
    <w:p w14:paraId="54A661AE" w14:textId="77777777" w:rsidR="00F72770" w:rsidRPr="00E93E4C" w:rsidRDefault="00F72770" w:rsidP="00E93E4C">
      <w:pPr>
        <w:spacing w:after="0"/>
        <w:rPr>
          <w:b/>
          <w:color w:val="1F497D" w:themeColor="text2"/>
        </w:rPr>
      </w:pPr>
      <w:r w:rsidRPr="00E93E4C">
        <w:rPr>
          <w:b/>
          <w:color w:val="1F497D" w:themeColor="text2"/>
        </w:rPr>
        <w:t>Paying for Equipment with 21st Century Funds</w:t>
      </w:r>
    </w:p>
    <w:p w14:paraId="54A661AF" w14:textId="684C30D0" w:rsidR="00F72770" w:rsidRPr="00E93E4C" w:rsidRDefault="00853E99" w:rsidP="00E93E4C">
      <w:pPr>
        <w:spacing w:after="0"/>
      </w:pPr>
      <w:r w:rsidRPr="00E93E4C">
        <w:t>T</w:t>
      </w:r>
      <w:r w:rsidR="00F72770" w:rsidRPr="00E93E4C">
        <w:t>he use of any item</w:t>
      </w:r>
      <w:r w:rsidR="00FE2C97" w:rsidRPr="00E93E4C">
        <w:t xml:space="preserve"> (not just equipment</w:t>
      </w:r>
      <w:r w:rsidR="00327100" w:rsidRPr="00E93E4C">
        <w:t xml:space="preserve"> but also supplies, staff, consultants, purchased services, etc.</w:t>
      </w:r>
      <w:r w:rsidR="00FE2C97" w:rsidRPr="00E93E4C">
        <w:t>)</w:t>
      </w:r>
      <w:r w:rsidR="00F72770" w:rsidRPr="00E93E4C">
        <w:t xml:space="preserve"> needs to match the funding source for that item.  You must pay for something (“allocate” a cost) in proportion to how much you will use it (“relative benefit received”).  So if you are paying 100% of the cost of something out of 21</w:t>
      </w:r>
      <w:r w:rsidR="00F72770" w:rsidRPr="00E93E4C">
        <w:rPr>
          <w:vertAlign w:val="superscript"/>
        </w:rPr>
        <w:t>st</w:t>
      </w:r>
      <w:r w:rsidR="00F72770" w:rsidRPr="00E93E4C">
        <w:t xml:space="preserve"> Century funds, then the 21</w:t>
      </w:r>
      <w:r w:rsidR="00F72770" w:rsidRPr="00E93E4C">
        <w:rPr>
          <w:vertAlign w:val="superscript"/>
        </w:rPr>
        <w:t>st</w:t>
      </w:r>
      <w:r w:rsidR="00F72770" w:rsidRPr="00E93E4C">
        <w:t xml:space="preserve"> Century program must get 100% of the benefit.  If another program is getting 50% of the usage then they should pay 50% of the cost.</w:t>
      </w:r>
    </w:p>
    <w:p w14:paraId="54A661B1" w14:textId="53AC34B9" w:rsidR="00F72770" w:rsidRPr="00E93E4C" w:rsidRDefault="00F72770" w:rsidP="00E93E4C">
      <w:pPr>
        <w:pStyle w:val="ListParagraph"/>
        <w:numPr>
          <w:ilvl w:val="0"/>
          <w:numId w:val="4"/>
        </w:numPr>
        <w:spacing w:after="0" w:line="240" w:lineRule="auto"/>
        <w:contextualSpacing w:val="0"/>
      </w:pPr>
      <w:r w:rsidRPr="00E93E4C">
        <w:t>“</w:t>
      </w:r>
      <w:r w:rsidR="00DA241C" w:rsidRPr="00E93E4C">
        <w:t>A cost is allocable to a particular Federal award or other cost objective if the goods or services involved are chargeable or assignable to that Federal award or cost objective in accordance with relative benefits received.</w:t>
      </w:r>
      <w:r w:rsidR="00E40502" w:rsidRPr="00E93E4C">
        <w:t>”</w:t>
      </w:r>
      <w:r w:rsidR="00E40502" w:rsidRPr="00E93E4C">
        <w:rPr>
          <w:rStyle w:val="FootnoteReference"/>
        </w:rPr>
        <w:footnoteReference w:id="1"/>
      </w:r>
    </w:p>
    <w:p w14:paraId="54A661B5" w14:textId="77777777" w:rsidR="00F72770" w:rsidRPr="00E93E4C" w:rsidRDefault="00F72770" w:rsidP="00E93E4C">
      <w:pPr>
        <w:spacing w:after="0"/>
        <w:rPr>
          <w:rFonts w:eastAsiaTheme="minorEastAsia"/>
          <w:noProof/>
        </w:rPr>
      </w:pPr>
    </w:p>
    <w:p w14:paraId="54A661B7" w14:textId="77777777" w:rsidR="00CB680F" w:rsidRPr="00E93E4C" w:rsidRDefault="00CB680F" w:rsidP="00E93E4C">
      <w:pPr>
        <w:spacing w:after="0"/>
        <w:rPr>
          <w:b/>
          <w:color w:val="1F497D" w:themeColor="text2"/>
        </w:rPr>
      </w:pPr>
      <w:r w:rsidRPr="00E93E4C">
        <w:rPr>
          <w:b/>
          <w:color w:val="1F497D" w:themeColor="text2"/>
        </w:rPr>
        <w:t>Tagging and Tracking Equipment</w:t>
      </w:r>
    </w:p>
    <w:p w14:paraId="54A661B8" w14:textId="41B09AED" w:rsidR="00422D8C" w:rsidRPr="00E93E4C" w:rsidRDefault="008C7AC8" w:rsidP="00E93E4C">
      <w:pPr>
        <w:spacing w:after="0"/>
      </w:pPr>
      <w:r w:rsidRPr="00E93E4C">
        <w:t>Once you have purchased a piece of equipment</w:t>
      </w:r>
      <w:r w:rsidR="00C62339" w:rsidRPr="00E93E4C">
        <w:t>, whether paid for entirely or just partially with Federal Funds,</w:t>
      </w:r>
      <w:r w:rsidRPr="00E93E4C">
        <w:t xml:space="preserve"> there </w:t>
      </w:r>
      <w:r w:rsidR="00592BD2" w:rsidRPr="00E93E4C">
        <w:t>is a lengthy list</w:t>
      </w:r>
      <w:r w:rsidRPr="00E93E4C">
        <w:t xml:space="preserve"> of requirements.  These requirements apply to “</w:t>
      </w:r>
      <w:r w:rsidR="00DA241C" w:rsidRPr="00E93E4C">
        <w:t>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Pr="00E93E4C">
        <w:t>”</w:t>
      </w:r>
      <w:r w:rsidR="008A0301" w:rsidRPr="00E93E4C">
        <w:rPr>
          <w:rStyle w:val="FootnoteReference"/>
        </w:rPr>
        <w:footnoteReference w:id="2"/>
      </w:r>
      <w:r w:rsidR="0028628A" w:rsidRPr="00E93E4C">
        <w:t xml:space="preserve"> </w:t>
      </w:r>
    </w:p>
    <w:p w14:paraId="6375E705" w14:textId="77777777" w:rsidR="00E93E4C" w:rsidRPr="00E93E4C" w:rsidRDefault="00E93E4C" w:rsidP="00E93E4C">
      <w:pPr>
        <w:spacing w:after="0"/>
      </w:pPr>
    </w:p>
    <w:p w14:paraId="54A661B9" w14:textId="234D31A2" w:rsidR="00CB680F" w:rsidRPr="00E93E4C" w:rsidRDefault="0028628A" w:rsidP="00E93E4C">
      <w:pPr>
        <w:spacing w:after="0"/>
      </w:pPr>
      <w:r w:rsidRPr="00E93E4C">
        <w:t>The requirements are</w:t>
      </w:r>
      <w:r w:rsidR="00422D8C" w:rsidRPr="00E93E4C">
        <w:t>:</w:t>
      </w:r>
    </w:p>
    <w:p w14:paraId="4A958BE2" w14:textId="0DBC12C5" w:rsidR="00857EA1" w:rsidRPr="00E93E4C" w:rsidRDefault="0028628A" w:rsidP="00E93E4C">
      <w:pPr>
        <w:pStyle w:val="ListParagraph"/>
        <w:numPr>
          <w:ilvl w:val="0"/>
          <w:numId w:val="10"/>
        </w:numPr>
        <w:spacing w:after="0"/>
      </w:pPr>
      <w:r w:rsidRPr="00E93E4C">
        <w:t>“</w:t>
      </w:r>
      <w:r w:rsidR="00857EA1" w:rsidRPr="00E93E4C">
        <w:t>Property records must be maintained that include a description of the property, a serial number or other identification number, the source of funding for the property (including the FAIN), who holds title, the acquisition date, and cost of the property, percentage of Federal participation in the project costs for the Federal award under which the property was acquired, the location, use and condition of the property, and any ultimate disposition data including the date of disposal and sale price of the property.</w:t>
      </w:r>
    </w:p>
    <w:p w14:paraId="520A5299" w14:textId="7C961841" w:rsidR="00857EA1" w:rsidRPr="00E93E4C" w:rsidRDefault="00857EA1" w:rsidP="00E93E4C">
      <w:pPr>
        <w:pStyle w:val="ListParagraph"/>
        <w:numPr>
          <w:ilvl w:val="0"/>
          <w:numId w:val="10"/>
        </w:numPr>
        <w:spacing w:after="0"/>
      </w:pPr>
      <w:r w:rsidRPr="00E93E4C">
        <w:t>A physical inventory of the property must be taken and the results reconciled with the property records at least once every two years.</w:t>
      </w:r>
    </w:p>
    <w:p w14:paraId="00F0E3E1" w14:textId="72B79AD3" w:rsidR="00857EA1" w:rsidRPr="00E93E4C" w:rsidRDefault="00857EA1" w:rsidP="00E93E4C">
      <w:pPr>
        <w:pStyle w:val="ListParagraph"/>
        <w:numPr>
          <w:ilvl w:val="0"/>
          <w:numId w:val="10"/>
        </w:numPr>
        <w:spacing w:after="0"/>
      </w:pPr>
      <w:r w:rsidRPr="00E93E4C">
        <w:t>A control system must be developed to ensure adequate safeguards to prevent loss, damage, or theft of the property. Any loss, damage, or theft must be investigated.</w:t>
      </w:r>
    </w:p>
    <w:p w14:paraId="0E6C8173" w14:textId="7922C6E8" w:rsidR="00A268D4" w:rsidRPr="00E93E4C" w:rsidRDefault="00857EA1" w:rsidP="00E93E4C">
      <w:pPr>
        <w:pStyle w:val="ListParagraph"/>
        <w:numPr>
          <w:ilvl w:val="0"/>
          <w:numId w:val="10"/>
        </w:numPr>
        <w:spacing w:after="0"/>
      </w:pPr>
      <w:r w:rsidRPr="00E93E4C">
        <w:t>Adequate maintenance procedures must be developed to keep the property in good condition.</w:t>
      </w:r>
    </w:p>
    <w:p w14:paraId="670897F9" w14:textId="73B3DF56" w:rsidR="00A268D4" w:rsidRPr="00E93E4C" w:rsidRDefault="00857EA1" w:rsidP="00E93E4C">
      <w:pPr>
        <w:pStyle w:val="ListParagraph"/>
        <w:numPr>
          <w:ilvl w:val="0"/>
          <w:numId w:val="10"/>
        </w:numPr>
        <w:spacing w:after="0"/>
      </w:pPr>
      <w:r w:rsidRPr="00E93E4C">
        <w:lastRenderedPageBreak/>
        <w:t>If the non-Federal entity is authorized or required to sell the property, proper sales procedures must be established to ensure the highest possible return.</w:t>
      </w:r>
      <w:r w:rsidR="00A268D4" w:rsidRPr="00E93E4C">
        <w:t xml:space="preserve"> ”</w:t>
      </w:r>
      <w:r w:rsidR="00A268D4" w:rsidRPr="00E93E4C">
        <w:rPr>
          <w:rStyle w:val="FootnoteReference"/>
        </w:rPr>
        <w:footnoteReference w:id="3"/>
      </w:r>
    </w:p>
    <w:p w14:paraId="139D215A" w14:textId="77777777" w:rsidR="00E93E4C" w:rsidRPr="00E93E4C" w:rsidRDefault="00E93E4C" w:rsidP="00E93E4C">
      <w:pPr>
        <w:spacing w:after="0"/>
        <w:rPr>
          <w:rFonts w:eastAsiaTheme="minorEastAsia"/>
          <w:noProof/>
        </w:rPr>
      </w:pPr>
    </w:p>
    <w:p w14:paraId="6B8E1676" w14:textId="4635A8E5" w:rsidR="00A268D4" w:rsidRPr="00E93E4C" w:rsidRDefault="00327100" w:rsidP="00E93E4C">
      <w:pPr>
        <w:spacing w:after="0"/>
        <w:rPr>
          <w:rFonts w:eastAsiaTheme="minorEastAsia"/>
          <w:noProof/>
        </w:rPr>
      </w:pPr>
      <w:r w:rsidRPr="00E93E4C">
        <w:rPr>
          <w:rFonts w:eastAsiaTheme="minorEastAsia"/>
          <w:noProof/>
        </w:rPr>
        <w:t xml:space="preserve">Although the federal regulations refer to equipment over $5000 per unit, we strongly recommend adopting similar procedures for any equipment purchased. We also recommend </w:t>
      </w:r>
      <w:r w:rsidR="00B231C2" w:rsidRPr="00E93E4C">
        <w:rPr>
          <w:rFonts w:eastAsiaTheme="minorEastAsia"/>
          <w:noProof/>
        </w:rPr>
        <w:t xml:space="preserve">doing an annual </w:t>
      </w:r>
      <w:r w:rsidRPr="00E93E4C">
        <w:rPr>
          <w:rFonts w:eastAsiaTheme="minorEastAsia"/>
          <w:noProof/>
        </w:rPr>
        <w:t>inventory.</w:t>
      </w:r>
    </w:p>
    <w:p w14:paraId="54A661C8" w14:textId="2ACD9595" w:rsidR="003D50DF" w:rsidRPr="00E93E4C" w:rsidRDefault="003D50DF" w:rsidP="00E93E4C">
      <w:pPr>
        <w:spacing w:after="0"/>
        <w:rPr>
          <w:rFonts w:eastAsiaTheme="minorEastAsia"/>
          <w:noProof/>
        </w:rPr>
      </w:pPr>
    </w:p>
    <w:p w14:paraId="54A661C9" w14:textId="77777777" w:rsidR="00555AD4" w:rsidRPr="00E93E4C" w:rsidRDefault="00555AD4" w:rsidP="00E93E4C">
      <w:pPr>
        <w:spacing w:after="0"/>
        <w:rPr>
          <w:b/>
          <w:color w:val="1F497D" w:themeColor="text2"/>
        </w:rPr>
      </w:pPr>
      <w:r w:rsidRPr="00E93E4C">
        <w:rPr>
          <w:b/>
          <w:color w:val="1F497D" w:themeColor="text2"/>
        </w:rPr>
        <w:t>Disposal of Equipment</w:t>
      </w:r>
    </w:p>
    <w:p w14:paraId="54A661CA" w14:textId="765A77AB" w:rsidR="00555AD4" w:rsidRPr="00E93E4C" w:rsidRDefault="00F53600" w:rsidP="00E93E4C">
      <w:pPr>
        <w:spacing w:after="0"/>
      </w:pPr>
      <w:r w:rsidRPr="00E93E4C">
        <w:t>O</w:t>
      </w:r>
      <w:r w:rsidR="00FE7433" w:rsidRPr="00E93E4C">
        <w:t xml:space="preserve">nce you have determined that </w:t>
      </w:r>
      <w:r w:rsidR="005933A0" w:rsidRPr="00E93E4C">
        <w:t>an</w:t>
      </w:r>
      <w:r w:rsidR="00FE7433" w:rsidRPr="00E93E4C">
        <w:t xml:space="preserve"> item is no longer </w:t>
      </w:r>
      <w:r w:rsidR="00164457" w:rsidRPr="00E93E4C">
        <w:t>needed</w:t>
      </w:r>
      <w:r w:rsidR="00FE7433" w:rsidRPr="00E93E4C">
        <w:t xml:space="preserve"> </w:t>
      </w:r>
      <w:r w:rsidR="004B235D" w:rsidRPr="00E93E4C">
        <w:t>for</w:t>
      </w:r>
      <w:r w:rsidR="00FE7433" w:rsidRPr="00E93E4C">
        <w:t xml:space="preserve"> the program</w:t>
      </w:r>
      <w:r w:rsidR="00B231C2" w:rsidRPr="00E93E4C">
        <w:t xml:space="preserve"> and its fair market value is less than $5,000, </w:t>
      </w:r>
      <w:r w:rsidRPr="00E93E4C">
        <w:t xml:space="preserve">you may retain, sell, or </w:t>
      </w:r>
      <w:r w:rsidR="00B231C2" w:rsidRPr="00E93E4C">
        <w:t>dispose of it</w:t>
      </w:r>
      <w:r w:rsidRPr="00E93E4C">
        <w:t>.</w:t>
      </w:r>
      <w:r w:rsidRPr="00E93E4C">
        <w:rPr>
          <w:rStyle w:val="FootnoteReference"/>
        </w:rPr>
        <w:footnoteReference w:id="4"/>
      </w:r>
      <w:r w:rsidRPr="00E93E4C">
        <w:t xml:space="preserve">. In the rare case </w:t>
      </w:r>
      <w:r w:rsidR="00A268D4" w:rsidRPr="00E93E4C">
        <w:t>that</w:t>
      </w:r>
      <w:r w:rsidRPr="00E93E4C">
        <w:t xml:space="preserve"> you have equipment that </w:t>
      </w:r>
      <w:r w:rsidR="00A268D4" w:rsidRPr="00E93E4C">
        <w:t xml:space="preserve">is </w:t>
      </w:r>
      <w:r w:rsidRPr="00E93E4C">
        <w:t>no longer need</w:t>
      </w:r>
      <w:r w:rsidR="00A268D4" w:rsidRPr="00E93E4C">
        <w:t>ed</w:t>
      </w:r>
      <w:r w:rsidRPr="00E93E4C">
        <w:t xml:space="preserve"> </w:t>
      </w:r>
      <w:r w:rsidR="00A268D4" w:rsidRPr="00E93E4C">
        <w:t xml:space="preserve">for the program </w:t>
      </w:r>
      <w:r w:rsidRPr="00E93E4C">
        <w:t>and its fair market value is more than $5,000, please contact RIDE for guidance.</w:t>
      </w:r>
    </w:p>
    <w:p w14:paraId="54A661CF" w14:textId="77777777" w:rsidR="00422D8C" w:rsidRPr="00E93E4C" w:rsidRDefault="00422D8C" w:rsidP="00E93E4C">
      <w:pPr>
        <w:spacing w:after="0" w:line="240" w:lineRule="auto"/>
        <w:ind w:left="720"/>
        <w:rPr>
          <w:rFonts w:eastAsiaTheme="minorEastAsia"/>
          <w:noProof/>
        </w:rPr>
      </w:pPr>
    </w:p>
    <w:p w14:paraId="67704B8C" w14:textId="282DE3D5" w:rsidR="00A268D4" w:rsidRPr="00E93E4C" w:rsidRDefault="00A268D4" w:rsidP="00E93E4C">
      <w:pPr>
        <w:spacing w:after="0"/>
        <w:rPr>
          <w:b/>
          <w:color w:val="1F497D" w:themeColor="text2"/>
        </w:rPr>
      </w:pPr>
      <w:r w:rsidRPr="00E93E4C">
        <w:rPr>
          <w:b/>
          <w:color w:val="1F497D" w:themeColor="text2"/>
        </w:rPr>
        <w:t>Agency Policies</w:t>
      </w:r>
    </w:p>
    <w:p w14:paraId="54A661D1" w14:textId="47812C20" w:rsidR="00CB680F" w:rsidRPr="00E93E4C" w:rsidRDefault="00422D8C" w:rsidP="00E93E4C">
      <w:pPr>
        <w:spacing w:after="0" w:line="240" w:lineRule="auto"/>
      </w:pPr>
      <w:r w:rsidRPr="00E93E4C">
        <w:rPr>
          <w:rFonts w:eastAsiaTheme="minorEastAsia"/>
          <w:noProof/>
        </w:rPr>
        <w:t xml:space="preserve">Regardless of what school your program is serving you should be following the policies and procedures of the </w:t>
      </w:r>
      <w:r w:rsidR="00AD28A8" w:rsidRPr="00E93E4C">
        <w:rPr>
          <w:rFonts w:eastAsiaTheme="minorEastAsia"/>
          <w:noProof/>
        </w:rPr>
        <w:t>school district</w:t>
      </w:r>
      <w:r w:rsidRPr="00E93E4C">
        <w:rPr>
          <w:rFonts w:eastAsiaTheme="minorEastAsia"/>
          <w:noProof/>
        </w:rPr>
        <w:t>/charter school/</w:t>
      </w:r>
      <w:r w:rsidR="00AD28A8" w:rsidRPr="00E93E4C">
        <w:rPr>
          <w:rFonts w:eastAsiaTheme="minorEastAsia"/>
          <w:noProof/>
        </w:rPr>
        <w:t xml:space="preserve">non-profit </w:t>
      </w:r>
      <w:r w:rsidRPr="00E93E4C">
        <w:rPr>
          <w:rFonts w:eastAsiaTheme="minorEastAsia"/>
          <w:noProof/>
        </w:rPr>
        <w:t xml:space="preserve">that is the receipient of the grant.  In some cases their rules may be more stringent than the </w:t>
      </w:r>
      <w:r w:rsidR="00936CD5" w:rsidRPr="00E93E4C">
        <w:rPr>
          <w:rFonts w:eastAsiaTheme="minorEastAsia"/>
          <w:noProof/>
        </w:rPr>
        <w:t>f</w:t>
      </w:r>
      <w:r w:rsidRPr="00E93E4C">
        <w:rPr>
          <w:rFonts w:eastAsiaTheme="minorEastAsia"/>
          <w:noProof/>
        </w:rPr>
        <w:t>ederal requirements. Being able to show that you are following the Board-approv</w:t>
      </w:r>
      <w:r w:rsidR="00936CD5" w:rsidRPr="00E93E4C">
        <w:rPr>
          <w:rFonts w:eastAsiaTheme="minorEastAsia"/>
          <w:noProof/>
        </w:rPr>
        <w:t xml:space="preserve">ed policies and procedures </w:t>
      </w:r>
      <w:r w:rsidRPr="00E93E4C">
        <w:rPr>
          <w:rFonts w:eastAsiaTheme="minorEastAsia"/>
          <w:noProof/>
        </w:rPr>
        <w:t xml:space="preserve">is important </w:t>
      </w:r>
      <w:r w:rsidR="00936CD5" w:rsidRPr="00E93E4C">
        <w:rPr>
          <w:rFonts w:eastAsiaTheme="minorEastAsia"/>
          <w:noProof/>
        </w:rPr>
        <w:t>for state or federal monitoring and/or audits</w:t>
      </w:r>
      <w:r w:rsidRPr="00E93E4C">
        <w:rPr>
          <w:rFonts w:eastAsiaTheme="minorEastAsia"/>
          <w:noProof/>
        </w:rPr>
        <w:t>.</w:t>
      </w:r>
    </w:p>
    <w:sectPr w:rsidR="00CB680F" w:rsidRPr="00E93E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661D4" w14:textId="77777777" w:rsidR="006B2301" w:rsidRDefault="006B2301" w:rsidP="00E40502">
      <w:pPr>
        <w:spacing w:after="0" w:line="240" w:lineRule="auto"/>
      </w:pPr>
      <w:r>
        <w:separator/>
      </w:r>
    </w:p>
  </w:endnote>
  <w:endnote w:type="continuationSeparator" w:id="0">
    <w:p w14:paraId="54A661D5" w14:textId="77777777" w:rsidR="006B2301" w:rsidRDefault="006B2301" w:rsidP="00E4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661D2" w14:textId="77777777" w:rsidR="006B2301" w:rsidRDefault="006B2301" w:rsidP="00E40502">
      <w:pPr>
        <w:spacing w:after="0" w:line="240" w:lineRule="auto"/>
      </w:pPr>
      <w:r>
        <w:separator/>
      </w:r>
    </w:p>
  </w:footnote>
  <w:footnote w:type="continuationSeparator" w:id="0">
    <w:p w14:paraId="54A661D3" w14:textId="77777777" w:rsidR="006B2301" w:rsidRDefault="006B2301" w:rsidP="00E40502">
      <w:pPr>
        <w:spacing w:after="0" w:line="240" w:lineRule="auto"/>
      </w:pPr>
      <w:r>
        <w:continuationSeparator/>
      </w:r>
    </w:p>
  </w:footnote>
  <w:footnote w:id="1">
    <w:p w14:paraId="54A661D6" w14:textId="041A4377" w:rsidR="006B2301" w:rsidRDefault="006B2301">
      <w:pPr>
        <w:pStyle w:val="FootnoteText"/>
      </w:pPr>
      <w:r>
        <w:rPr>
          <w:rStyle w:val="FootnoteReference"/>
        </w:rPr>
        <w:footnoteRef/>
      </w:r>
      <w:r>
        <w:t xml:space="preserve"> </w:t>
      </w:r>
      <w:r w:rsidRPr="00F72770">
        <w:rPr>
          <w:sz w:val="24"/>
          <w:szCs w:val="24"/>
        </w:rPr>
        <w:t xml:space="preserve">2 CFR </w:t>
      </w:r>
      <w:r w:rsidR="00DA241C" w:rsidRPr="00DA241C">
        <w:rPr>
          <w:sz w:val="24"/>
          <w:szCs w:val="24"/>
        </w:rPr>
        <w:t>§200.</w:t>
      </w:r>
      <w:r w:rsidR="00DA241C">
        <w:rPr>
          <w:sz w:val="24"/>
          <w:szCs w:val="24"/>
        </w:rPr>
        <w:t xml:space="preserve">405, </w:t>
      </w:r>
      <w:r w:rsidR="00DA241C" w:rsidRPr="00DA241C">
        <w:rPr>
          <w:sz w:val="24"/>
          <w:szCs w:val="24"/>
        </w:rPr>
        <w:t>Uniform Administrative Requirements, Cost Principles, and Audit Requirements for Federal Awards</w:t>
      </w:r>
      <w:r w:rsidR="00DA241C">
        <w:rPr>
          <w:sz w:val="24"/>
          <w:szCs w:val="24"/>
        </w:rPr>
        <w:t xml:space="preserve"> ("Uniform Guidance")</w:t>
      </w:r>
    </w:p>
  </w:footnote>
  <w:footnote w:id="2">
    <w:p w14:paraId="54A661D8" w14:textId="13CA73DB" w:rsidR="006B2301" w:rsidRDefault="006B2301">
      <w:pPr>
        <w:pStyle w:val="FootnoteText"/>
      </w:pPr>
      <w:r>
        <w:rPr>
          <w:rStyle w:val="FootnoteReference"/>
        </w:rPr>
        <w:footnoteRef/>
      </w:r>
      <w:r>
        <w:t xml:space="preserve"> </w:t>
      </w:r>
      <w:r w:rsidR="00DA241C">
        <w:rPr>
          <w:sz w:val="24"/>
          <w:szCs w:val="24"/>
        </w:rPr>
        <w:t xml:space="preserve">2 CFR </w:t>
      </w:r>
      <w:r w:rsidR="00DA241C" w:rsidRPr="00DA241C">
        <w:rPr>
          <w:sz w:val="24"/>
          <w:szCs w:val="24"/>
        </w:rPr>
        <w:t>§200.33</w:t>
      </w:r>
    </w:p>
  </w:footnote>
  <w:footnote w:id="3">
    <w:p w14:paraId="1F2BF071" w14:textId="77777777" w:rsidR="00A268D4" w:rsidRDefault="00A268D4" w:rsidP="00A268D4">
      <w:pPr>
        <w:pStyle w:val="FootnoteText"/>
      </w:pPr>
      <w:r>
        <w:rPr>
          <w:rStyle w:val="FootnoteReference"/>
        </w:rPr>
        <w:footnoteRef/>
      </w:r>
      <w:r>
        <w:t xml:space="preserve"> </w:t>
      </w:r>
      <w:r>
        <w:rPr>
          <w:sz w:val="24"/>
          <w:szCs w:val="24"/>
        </w:rPr>
        <w:t xml:space="preserve"> 2 CFR </w:t>
      </w:r>
      <w:r w:rsidRPr="00857EA1">
        <w:rPr>
          <w:sz w:val="24"/>
          <w:szCs w:val="24"/>
        </w:rPr>
        <w:t>§200.313</w:t>
      </w:r>
    </w:p>
  </w:footnote>
  <w:footnote w:id="4">
    <w:p w14:paraId="4A19182C" w14:textId="0B73D2D8" w:rsidR="00F53600" w:rsidRDefault="00F53600">
      <w:pPr>
        <w:pStyle w:val="FootnoteText"/>
      </w:pPr>
      <w:r>
        <w:rPr>
          <w:rStyle w:val="FootnoteReference"/>
        </w:rPr>
        <w:footnoteRef/>
      </w:r>
      <w:r w:rsidRPr="00A268D4">
        <w:rPr>
          <w:sz w:val="24"/>
          <w:szCs w:val="24"/>
        </w:rPr>
        <w:t xml:space="preserve"> </w:t>
      </w:r>
      <w:r w:rsidR="00A268D4" w:rsidRPr="00A268D4">
        <w:rPr>
          <w:sz w:val="24"/>
          <w:szCs w:val="24"/>
        </w:rPr>
        <w:t>2 CFR</w:t>
      </w:r>
      <w:r w:rsidR="00A268D4">
        <w:rPr>
          <w:sz w:val="24"/>
          <w:szCs w:val="24"/>
        </w:rPr>
        <w:t xml:space="preserve"> </w:t>
      </w:r>
      <w:r w:rsidR="00A268D4" w:rsidRPr="00A268D4">
        <w:rPr>
          <w:sz w:val="24"/>
          <w:szCs w:val="24"/>
        </w:rPr>
        <w:t>§200.313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62EA0"/>
    <w:multiLevelType w:val="hybridMultilevel"/>
    <w:tmpl w:val="DE42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B3C70"/>
    <w:multiLevelType w:val="hybridMultilevel"/>
    <w:tmpl w:val="958A74E8"/>
    <w:lvl w:ilvl="0" w:tplc="D7C4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762CB"/>
    <w:multiLevelType w:val="hybridMultilevel"/>
    <w:tmpl w:val="9998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70D9B"/>
    <w:multiLevelType w:val="hybridMultilevel"/>
    <w:tmpl w:val="1C44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D1467"/>
    <w:multiLevelType w:val="hybridMultilevel"/>
    <w:tmpl w:val="7BFCD4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4B3766"/>
    <w:multiLevelType w:val="hybridMultilevel"/>
    <w:tmpl w:val="293C4F9C"/>
    <w:lvl w:ilvl="0" w:tplc="D7C4FE2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845A9B"/>
    <w:multiLevelType w:val="hybridMultilevel"/>
    <w:tmpl w:val="7CFC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862E0"/>
    <w:multiLevelType w:val="hybridMultilevel"/>
    <w:tmpl w:val="FC782906"/>
    <w:lvl w:ilvl="0" w:tplc="D7C4F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D848AC"/>
    <w:multiLevelType w:val="hybridMultilevel"/>
    <w:tmpl w:val="258C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504613A"/>
    <w:multiLevelType w:val="hybridMultilevel"/>
    <w:tmpl w:val="57C44BCA"/>
    <w:lvl w:ilvl="0" w:tplc="D7C4FE2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8"/>
  </w:num>
  <w:num w:numId="6">
    <w:abstractNumId w:val="4"/>
  </w:num>
  <w:num w:numId="7">
    <w:abstractNumId w:val="0"/>
  </w:num>
  <w:num w:numId="8">
    <w:abstractNumId w:val="1"/>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A"/>
    <w:rsid w:val="000823CB"/>
    <w:rsid w:val="001140AF"/>
    <w:rsid w:val="00130F84"/>
    <w:rsid w:val="00151761"/>
    <w:rsid w:val="00164457"/>
    <w:rsid w:val="001E41BA"/>
    <w:rsid w:val="002146B6"/>
    <w:rsid w:val="0021493D"/>
    <w:rsid w:val="00225B04"/>
    <w:rsid w:val="00232176"/>
    <w:rsid w:val="00237E4C"/>
    <w:rsid w:val="00241F5B"/>
    <w:rsid w:val="00243893"/>
    <w:rsid w:val="0028628A"/>
    <w:rsid w:val="002A5436"/>
    <w:rsid w:val="002F7FF3"/>
    <w:rsid w:val="00327100"/>
    <w:rsid w:val="003D50DF"/>
    <w:rsid w:val="003E336B"/>
    <w:rsid w:val="00404CA9"/>
    <w:rsid w:val="00422D8C"/>
    <w:rsid w:val="004B235D"/>
    <w:rsid w:val="004E3CC0"/>
    <w:rsid w:val="00504192"/>
    <w:rsid w:val="00555AD4"/>
    <w:rsid w:val="00566EFB"/>
    <w:rsid w:val="00592BD2"/>
    <w:rsid w:val="005933A0"/>
    <w:rsid w:val="005B18D4"/>
    <w:rsid w:val="005C502A"/>
    <w:rsid w:val="00611DD2"/>
    <w:rsid w:val="006344B6"/>
    <w:rsid w:val="006574BC"/>
    <w:rsid w:val="00684BFA"/>
    <w:rsid w:val="006B2301"/>
    <w:rsid w:val="006C102F"/>
    <w:rsid w:val="006E396A"/>
    <w:rsid w:val="006F5349"/>
    <w:rsid w:val="0072484A"/>
    <w:rsid w:val="00741D4A"/>
    <w:rsid w:val="00787CA7"/>
    <w:rsid w:val="007D7139"/>
    <w:rsid w:val="00826733"/>
    <w:rsid w:val="008458CF"/>
    <w:rsid w:val="00853E99"/>
    <w:rsid w:val="00857EA1"/>
    <w:rsid w:val="008914E3"/>
    <w:rsid w:val="008A0301"/>
    <w:rsid w:val="008C7AC8"/>
    <w:rsid w:val="008F1A17"/>
    <w:rsid w:val="00936CD5"/>
    <w:rsid w:val="009D3F3B"/>
    <w:rsid w:val="009D69B0"/>
    <w:rsid w:val="009E4B08"/>
    <w:rsid w:val="00A268D4"/>
    <w:rsid w:val="00A8550D"/>
    <w:rsid w:val="00AA6DB9"/>
    <w:rsid w:val="00AB6CDB"/>
    <w:rsid w:val="00AD28A8"/>
    <w:rsid w:val="00AE326B"/>
    <w:rsid w:val="00B231C2"/>
    <w:rsid w:val="00B6715B"/>
    <w:rsid w:val="00B85855"/>
    <w:rsid w:val="00BA3999"/>
    <w:rsid w:val="00C57433"/>
    <w:rsid w:val="00C57B29"/>
    <w:rsid w:val="00C62339"/>
    <w:rsid w:val="00C75A7E"/>
    <w:rsid w:val="00CA7AA1"/>
    <w:rsid w:val="00CB680F"/>
    <w:rsid w:val="00D12B6D"/>
    <w:rsid w:val="00D617B9"/>
    <w:rsid w:val="00DA241C"/>
    <w:rsid w:val="00DE6C04"/>
    <w:rsid w:val="00E31E3A"/>
    <w:rsid w:val="00E40502"/>
    <w:rsid w:val="00E55CD7"/>
    <w:rsid w:val="00E80C38"/>
    <w:rsid w:val="00E93E4C"/>
    <w:rsid w:val="00EF46E4"/>
    <w:rsid w:val="00F328E4"/>
    <w:rsid w:val="00F4295C"/>
    <w:rsid w:val="00F53600"/>
    <w:rsid w:val="00F56CAA"/>
    <w:rsid w:val="00F72770"/>
    <w:rsid w:val="00FA39D6"/>
    <w:rsid w:val="00FC093D"/>
    <w:rsid w:val="00FC7AD2"/>
    <w:rsid w:val="00FE2C97"/>
    <w:rsid w:val="00FE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61AB"/>
  <w15:docId w15:val="{6F7165E5-6B4B-41F2-B760-FFBCCF84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999"/>
    <w:pPr>
      <w:ind w:left="720"/>
      <w:contextualSpacing/>
    </w:pPr>
  </w:style>
  <w:style w:type="character" w:styleId="CommentReference">
    <w:name w:val="annotation reference"/>
    <w:basedOn w:val="DefaultParagraphFont"/>
    <w:uiPriority w:val="99"/>
    <w:semiHidden/>
    <w:unhideWhenUsed/>
    <w:rsid w:val="008914E3"/>
    <w:rPr>
      <w:sz w:val="16"/>
      <w:szCs w:val="16"/>
    </w:rPr>
  </w:style>
  <w:style w:type="paragraph" w:styleId="CommentText">
    <w:name w:val="annotation text"/>
    <w:basedOn w:val="Normal"/>
    <w:link w:val="CommentTextChar"/>
    <w:uiPriority w:val="99"/>
    <w:semiHidden/>
    <w:unhideWhenUsed/>
    <w:rsid w:val="008914E3"/>
    <w:pPr>
      <w:spacing w:line="240" w:lineRule="auto"/>
    </w:pPr>
    <w:rPr>
      <w:sz w:val="20"/>
      <w:szCs w:val="20"/>
    </w:rPr>
  </w:style>
  <w:style w:type="character" w:customStyle="1" w:styleId="CommentTextChar">
    <w:name w:val="Comment Text Char"/>
    <w:basedOn w:val="DefaultParagraphFont"/>
    <w:link w:val="CommentText"/>
    <w:uiPriority w:val="99"/>
    <w:semiHidden/>
    <w:rsid w:val="008914E3"/>
    <w:rPr>
      <w:sz w:val="20"/>
      <w:szCs w:val="20"/>
    </w:rPr>
  </w:style>
  <w:style w:type="paragraph" w:styleId="CommentSubject">
    <w:name w:val="annotation subject"/>
    <w:basedOn w:val="CommentText"/>
    <w:next w:val="CommentText"/>
    <w:link w:val="CommentSubjectChar"/>
    <w:uiPriority w:val="99"/>
    <w:semiHidden/>
    <w:unhideWhenUsed/>
    <w:rsid w:val="008914E3"/>
    <w:rPr>
      <w:b/>
      <w:bCs/>
    </w:rPr>
  </w:style>
  <w:style w:type="character" w:customStyle="1" w:styleId="CommentSubjectChar">
    <w:name w:val="Comment Subject Char"/>
    <w:basedOn w:val="CommentTextChar"/>
    <w:link w:val="CommentSubject"/>
    <w:uiPriority w:val="99"/>
    <w:semiHidden/>
    <w:rsid w:val="008914E3"/>
    <w:rPr>
      <w:b/>
      <w:bCs/>
      <w:sz w:val="20"/>
      <w:szCs w:val="20"/>
    </w:rPr>
  </w:style>
  <w:style w:type="paragraph" w:styleId="BalloonText">
    <w:name w:val="Balloon Text"/>
    <w:basedOn w:val="Normal"/>
    <w:link w:val="BalloonTextChar"/>
    <w:uiPriority w:val="99"/>
    <w:semiHidden/>
    <w:unhideWhenUsed/>
    <w:rsid w:val="00891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4E3"/>
    <w:rPr>
      <w:rFonts w:ascii="Tahoma" w:hAnsi="Tahoma" w:cs="Tahoma"/>
      <w:sz w:val="16"/>
      <w:szCs w:val="16"/>
    </w:rPr>
  </w:style>
  <w:style w:type="paragraph" w:styleId="FootnoteText">
    <w:name w:val="footnote text"/>
    <w:basedOn w:val="Normal"/>
    <w:link w:val="FootnoteTextChar"/>
    <w:uiPriority w:val="99"/>
    <w:semiHidden/>
    <w:unhideWhenUsed/>
    <w:rsid w:val="00E405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502"/>
    <w:rPr>
      <w:sz w:val="20"/>
      <w:szCs w:val="20"/>
    </w:rPr>
  </w:style>
  <w:style w:type="character" w:styleId="FootnoteReference">
    <w:name w:val="footnote reference"/>
    <w:basedOn w:val="DefaultParagraphFont"/>
    <w:uiPriority w:val="99"/>
    <w:semiHidden/>
    <w:unhideWhenUsed/>
    <w:rsid w:val="00E40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8112">
      <w:bodyDiv w:val="1"/>
      <w:marLeft w:val="0"/>
      <w:marRight w:val="0"/>
      <w:marTop w:val="0"/>
      <w:marBottom w:val="0"/>
      <w:divBdr>
        <w:top w:val="none" w:sz="0" w:space="0" w:color="auto"/>
        <w:left w:val="none" w:sz="0" w:space="0" w:color="auto"/>
        <w:bottom w:val="none" w:sz="0" w:space="0" w:color="auto"/>
        <w:right w:val="none" w:sz="0" w:space="0" w:color="auto"/>
      </w:divBdr>
    </w:div>
    <w:div w:id="239873282">
      <w:bodyDiv w:val="1"/>
      <w:marLeft w:val="0"/>
      <w:marRight w:val="0"/>
      <w:marTop w:val="0"/>
      <w:marBottom w:val="0"/>
      <w:divBdr>
        <w:top w:val="none" w:sz="0" w:space="0" w:color="auto"/>
        <w:left w:val="none" w:sz="0" w:space="0" w:color="auto"/>
        <w:bottom w:val="none" w:sz="0" w:space="0" w:color="auto"/>
        <w:right w:val="none" w:sz="0" w:space="0" w:color="auto"/>
      </w:divBdr>
    </w:div>
    <w:div w:id="523519711">
      <w:bodyDiv w:val="1"/>
      <w:marLeft w:val="0"/>
      <w:marRight w:val="0"/>
      <w:marTop w:val="0"/>
      <w:marBottom w:val="0"/>
      <w:divBdr>
        <w:top w:val="none" w:sz="0" w:space="0" w:color="auto"/>
        <w:left w:val="none" w:sz="0" w:space="0" w:color="auto"/>
        <w:bottom w:val="none" w:sz="0" w:space="0" w:color="auto"/>
        <w:right w:val="none" w:sz="0" w:space="0" w:color="auto"/>
      </w:divBdr>
    </w:div>
    <w:div w:id="687293294">
      <w:bodyDiv w:val="1"/>
      <w:marLeft w:val="0"/>
      <w:marRight w:val="0"/>
      <w:marTop w:val="0"/>
      <w:marBottom w:val="0"/>
      <w:divBdr>
        <w:top w:val="none" w:sz="0" w:space="0" w:color="auto"/>
        <w:left w:val="none" w:sz="0" w:space="0" w:color="auto"/>
        <w:bottom w:val="none" w:sz="0" w:space="0" w:color="auto"/>
        <w:right w:val="none" w:sz="0" w:space="0" w:color="auto"/>
      </w:divBdr>
    </w:div>
    <w:div w:id="741489012">
      <w:bodyDiv w:val="1"/>
      <w:marLeft w:val="0"/>
      <w:marRight w:val="0"/>
      <w:marTop w:val="0"/>
      <w:marBottom w:val="0"/>
      <w:divBdr>
        <w:top w:val="none" w:sz="0" w:space="0" w:color="auto"/>
        <w:left w:val="none" w:sz="0" w:space="0" w:color="auto"/>
        <w:bottom w:val="none" w:sz="0" w:space="0" w:color="auto"/>
        <w:right w:val="none" w:sz="0" w:space="0" w:color="auto"/>
      </w:divBdr>
    </w:div>
    <w:div w:id="997227920">
      <w:bodyDiv w:val="1"/>
      <w:marLeft w:val="0"/>
      <w:marRight w:val="0"/>
      <w:marTop w:val="0"/>
      <w:marBottom w:val="0"/>
      <w:divBdr>
        <w:top w:val="none" w:sz="0" w:space="0" w:color="auto"/>
        <w:left w:val="none" w:sz="0" w:space="0" w:color="auto"/>
        <w:bottom w:val="none" w:sz="0" w:space="0" w:color="auto"/>
        <w:right w:val="none" w:sz="0" w:space="0" w:color="auto"/>
      </w:divBdr>
    </w:div>
    <w:div w:id="1206525084">
      <w:bodyDiv w:val="1"/>
      <w:marLeft w:val="0"/>
      <w:marRight w:val="0"/>
      <w:marTop w:val="0"/>
      <w:marBottom w:val="0"/>
      <w:divBdr>
        <w:top w:val="none" w:sz="0" w:space="0" w:color="auto"/>
        <w:left w:val="none" w:sz="0" w:space="0" w:color="auto"/>
        <w:bottom w:val="none" w:sz="0" w:space="0" w:color="auto"/>
        <w:right w:val="none" w:sz="0" w:space="0" w:color="auto"/>
      </w:divBdr>
    </w:div>
    <w:div w:id="1412194634">
      <w:bodyDiv w:val="1"/>
      <w:marLeft w:val="0"/>
      <w:marRight w:val="0"/>
      <w:marTop w:val="0"/>
      <w:marBottom w:val="0"/>
      <w:divBdr>
        <w:top w:val="none" w:sz="0" w:space="0" w:color="auto"/>
        <w:left w:val="none" w:sz="0" w:space="0" w:color="auto"/>
        <w:bottom w:val="none" w:sz="0" w:space="0" w:color="auto"/>
        <w:right w:val="none" w:sz="0" w:space="0" w:color="auto"/>
      </w:divBdr>
    </w:div>
    <w:div w:id="1681538804">
      <w:bodyDiv w:val="1"/>
      <w:marLeft w:val="0"/>
      <w:marRight w:val="0"/>
      <w:marTop w:val="0"/>
      <w:marBottom w:val="0"/>
      <w:divBdr>
        <w:top w:val="none" w:sz="0" w:space="0" w:color="auto"/>
        <w:left w:val="none" w:sz="0" w:space="0" w:color="auto"/>
        <w:bottom w:val="none" w:sz="0" w:space="0" w:color="auto"/>
        <w:right w:val="none" w:sz="0" w:space="0" w:color="auto"/>
      </w:divBdr>
    </w:div>
    <w:div w:id="170370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BDD4D826CA543B55D6C0F53319657" ma:contentTypeVersion="12" ma:contentTypeDescription="Create a new document." ma:contentTypeScope="" ma:versionID="959539b541977ae93e10a32237b83474">
  <xsd:schema xmlns:xsd="http://www.w3.org/2001/XMLSchema" xmlns:xs="http://www.w3.org/2001/XMLSchema" xmlns:p="http://schemas.microsoft.com/office/2006/metadata/properties" xmlns:ns2="fb4ce569-0273-4228-9157-33b14876d013" xmlns:ns3="f1f817b5-ccb3-4c0a-805f-57556aeebb06" xmlns:ns4="40bfeb4b-8b14-4ec8-a45f-f936884ba75f" targetNamespace="http://schemas.microsoft.com/office/2006/metadata/properties" ma:root="true" ma:fieldsID="15859dd1faca36b01dae481b223a8671" ns2:_="" ns3:_="" ns4:_="">
    <xsd:import namespace="fb4ce569-0273-4228-9157-33b14876d013"/>
    <xsd:import namespace="f1f817b5-ccb3-4c0a-805f-57556aeebb06"/>
    <xsd:import namespace="40bfeb4b-8b14-4ec8-a45f-f936884ba7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817b5-ccb3-4c0a-805f-57556aeebb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bfeb4b-8b14-4ec8-a45f-f936884ba7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3BBE3-2109-4150-AAE7-CC4664626768}">
  <ds:schemaRefs>
    <ds:schemaRef ds:uri="http://schemas.microsoft.com/sharepoint/v3/contenttype/forms"/>
  </ds:schemaRefs>
</ds:datastoreItem>
</file>

<file path=customXml/itemProps2.xml><?xml version="1.0" encoding="utf-8"?>
<ds:datastoreItem xmlns:ds="http://schemas.openxmlformats.org/officeDocument/2006/customXml" ds:itemID="{5AFD96BF-7D35-4993-A95E-6002DC0E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e569-0273-4228-9157-33b14876d013"/>
    <ds:schemaRef ds:uri="f1f817b5-ccb3-4c0a-805f-57556aeebb06"/>
    <ds:schemaRef ds:uri="40bfeb4b-8b14-4ec8-a45f-f936884ba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C5820-D9D9-453B-B6DB-357E74621553}">
  <ds:schemaRefs>
    <ds:schemaRef ds:uri="http://schemas.microsoft.com/office/2006/documentManagement/types"/>
    <ds:schemaRef ds:uri="40bfeb4b-8b14-4ec8-a45f-f936884ba75f"/>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purl.org/dc/dcmitype/"/>
    <ds:schemaRef ds:uri="f1f817b5-ccb3-4c0a-805f-57556aeebb06"/>
    <ds:schemaRef ds:uri="fb4ce569-0273-4228-9157-33b14876d013"/>
    <ds:schemaRef ds:uri="http://schemas.microsoft.com/office/2006/metadata/properties"/>
  </ds:schemaRefs>
</ds:datastoreItem>
</file>

<file path=customXml/itemProps4.xml><?xml version="1.0" encoding="utf-8"?>
<ds:datastoreItem xmlns:ds="http://schemas.openxmlformats.org/officeDocument/2006/customXml" ds:itemID="{30B9AF93-A7A2-4756-BDEC-161BC57D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Trimble, William</dc:creator>
  <cp:lastModifiedBy>Mermin, Jan</cp:lastModifiedBy>
  <cp:revision>5</cp:revision>
  <dcterms:created xsi:type="dcterms:W3CDTF">2019-01-15T21:12:00Z</dcterms:created>
  <dcterms:modified xsi:type="dcterms:W3CDTF">2019-01-29T18:21:00Z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0x010100DCABDD4D826CA543B55D6C0F53319657</vt:lpwstr>
  </property>
  <property fmtid="{D5CDD505-2E9C-101B-9397-08002B2CF9AE}" pid="3" name="Order">
    <vt:r8>1505800</vt:r8>
  </property>
  <property fmtid="{D5CDD505-2E9C-101B-9397-08002B2CF9AE}" pid="4" name="AuthorIds_UIVersion_512">
    <vt:lpwstr>305</vt:lpwstr>
  </property>
</Properties>
</file>