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F63C" w14:textId="778BF7E0" w:rsidR="00BF0D70" w:rsidRPr="001F73A7" w:rsidRDefault="00D12B6D" w:rsidP="001F73A7">
      <w:pPr>
        <w:spacing w:after="0"/>
        <w:ind w:firstLine="720"/>
        <w:jc w:val="center"/>
        <w:rPr>
          <w:b/>
          <w:color w:val="1F497D" w:themeColor="text2"/>
          <w:sz w:val="28"/>
          <w:szCs w:val="28"/>
        </w:rPr>
      </w:pPr>
      <w:r w:rsidRPr="001F73A7">
        <w:rPr>
          <w:b/>
          <w:color w:val="1F497D" w:themeColor="text2"/>
          <w:sz w:val="28"/>
          <w:szCs w:val="28"/>
        </w:rPr>
        <w:t>R</w:t>
      </w:r>
      <w:r w:rsidR="00BF0D70" w:rsidRPr="001F73A7">
        <w:rPr>
          <w:b/>
          <w:color w:val="1F497D" w:themeColor="text2"/>
          <w:sz w:val="28"/>
          <w:szCs w:val="28"/>
        </w:rPr>
        <w:t xml:space="preserve">hode Island </w:t>
      </w:r>
      <w:r w:rsidRPr="001F73A7">
        <w:rPr>
          <w:b/>
          <w:color w:val="1F497D" w:themeColor="text2"/>
          <w:sz w:val="28"/>
          <w:szCs w:val="28"/>
        </w:rPr>
        <w:t>21</w:t>
      </w:r>
      <w:r w:rsidRPr="001F73A7">
        <w:rPr>
          <w:b/>
          <w:color w:val="1F497D" w:themeColor="text2"/>
          <w:sz w:val="28"/>
          <w:szCs w:val="28"/>
          <w:vertAlign w:val="superscript"/>
        </w:rPr>
        <w:t>st</w:t>
      </w:r>
      <w:r w:rsidRPr="001F73A7">
        <w:rPr>
          <w:b/>
          <w:color w:val="1F497D" w:themeColor="text2"/>
          <w:sz w:val="28"/>
          <w:szCs w:val="28"/>
        </w:rPr>
        <w:t xml:space="preserve"> Century </w:t>
      </w:r>
      <w:r w:rsidR="001E41BA" w:rsidRPr="001F73A7">
        <w:rPr>
          <w:b/>
          <w:color w:val="1F497D" w:themeColor="text2"/>
          <w:sz w:val="28"/>
          <w:szCs w:val="28"/>
        </w:rPr>
        <w:t>Community Learning Center</w:t>
      </w:r>
      <w:r w:rsidR="00BF0D70" w:rsidRPr="001F73A7">
        <w:rPr>
          <w:b/>
          <w:color w:val="1F497D" w:themeColor="text2"/>
          <w:sz w:val="28"/>
          <w:szCs w:val="28"/>
        </w:rPr>
        <w:t xml:space="preserve"> (21</w:t>
      </w:r>
      <w:r w:rsidR="00BF0D70" w:rsidRPr="001F73A7">
        <w:rPr>
          <w:b/>
          <w:color w:val="1F497D" w:themeColor="text2"/>
          <w:sz w:val="28"/>
          <w:szCs w:val="28"/>
          <w:vertAlign w:val="superscript"/>
        </w:rPr>
        <w:t>st</w:t>
      </w:r>
      <w:r w:rsidR="00BF0D70" w:rsidRPr="001F73A7">
        <w:rPr>
          <w:b/>
          <w:color w:val="1F497D" w:themeColor="text2"/>
          <w:sz w:val="28"/>
          <w:szCs w:val="28"/>
        </w:rPr>
        <w:t xml:space="preserve"> CCLC) grant</w:t>
      </w:r>
    </w:p>
    <w:p w14:paraId="458BC655" w14:textId="77777777" w:rsidR="00BF0D70" w:rsidRPr="001F73A7" w:rsidRDefault="00D12B6D" w:rsidP="001F73A7">
      <w:pPr>
        <w:spacing w:after="0"/>
        <w:jc w:val="center"/>
        <w:rPr>
          <w:b/>
          <w:color w:val="1F497D" w:themeColor="text2"/>
          <w:sz w:val="28"/>
          <w:szCs w:val="28"/>
        </w:rPr>
      </w:pPr>
      <w:r w:rsidRPr="001F73A7">
        <w:rPr>
          <w:b/>
          <w:color w:val="1F497D" w:themeColor="text2"/>
          <w:sz w:val="28"/>
          <w:szCs w:val="28"/>
        </w:rPr>
        <w:t>Budget Guide</w:t>
      </w:r>
    </w:p>
    <w:p w14:paraId="01B928EA" w14:textId="28903EC2" w:rsidR="00D12B6D" w:rsidRPr="001F73A7" w:rsidRDefault="00A63785" w:rsidP="001F73A7">
      <w:pPr>
        <w:spacing w:after="0"/>
        <w:jc w:val="center"/>
        <w:rPr>
          <w:b/>
          <w:color w:val="1F497D" w:themeColor="text2"/>
          <w:sz w:val="28"/>
          <w:szCs w:val="28"/>
        </w:rPr>
      </w:pPr>
      <w:r w:rsidRPr="001F73A7">
        <w:rPr>
          <w:b/>
          <w:color w:val="1F497D" w:themeColor="text2"/>
          <w:sz w:val="28"/>
          <w:szCs w:val="28"/>
        </w:rPr>
        <w:t xml:space="preserve">Updated </w:t>
      </w:r>
      <w:r w:rsidR="005465B1" w:rsidRPr="001F73A7">
        <w:rPr>
          <w:b/>
          <w:color w:val="1F497D" w:themeColor="text2"/>
          <w:sz w:val="28"/>
          <w:szCs w:val="28"/>
        </w:rPr>
        <w:t>November</w:t>
      </w:r>
      <w:r w:rsidR="00684C11" w:rsidRPr="001F73A7">
        <w:rPr>
          <w:b/>
          <w:color w:val="1F497D" w:themeColor="text2"/>
          <w:sz w:val="28"/>
          <w:szCs w:val="28"/>
        </w:rPr>
        <w:t xml:space="preserve"> </w:t>
      </w:r>
      <w:r w:rsidR="00380944" w:rsidRPr="001F73A7">
        <w:rPr>
          <w:b/>
          <w:color w:val="1F497D" w:themeColor="text2"/>
          <w:sz w:val="28"/>
          <w:szCs w:val="28"/>
        </w:rPr>
        <w:t>202</w:t>
      </w:r>
      <w:r w:rsidR="00684C11" w:rsidRPr="001F73A7">
        <w:rPr>
          <w:b/>
          <w:color w:val="1F497D" w:themeColor="text2"/>
          <w:sz w:val="28"/>
          <w:szCs w:val="28"/>
        </w:rPr>
        <w:t>3</w:t>
      </w:r>
    </w:p>
    <w:p w14:paraId="0D59068A" w14:textId="45BC0FB7" w:rsidR="00CE13C7" w:rsidRPr="001F73A7" w:rsidRDefault="00CE13C7" w:rsidP="001F73A7">
      <w:pPr>
        <w:spacing w:after="0"/>
        <w:rPr>
          <w:b/>
          <w:color w:val="1F497D" w:themeColor="text2"/>
        </w:rPr>
      </w:pPr>
    </w:p>
    <w:p w14:paraId="5AB3B7F8" w14:textId="0C40752C" w:rsidR="005407A4" w:rsidRPr="001F73A7" w:rsidRDefault="005407A4" w:rsidP="001F73A7">
      <w:pPr>
        <w:pStyle w:val="Heading1"/>
      </w:pPr>
      <w:r w:rsidRPr="001F73A7">
        <w:t>I. General Information</w:t>
      </w:r>
    </w:p>
    <w:p w14:paraId="66A1ED8D" w14:textId="17C1781B" w:rsidR="005407A4" w:rsidRPr="001F73A7" w:rsidRDefault="005407A4" w:rsidP="001F73A7">
      <w:pPr>
        <w:spacing w:after="0"/>
        <w:rPr>
          <w:b/>
          <w:color w:val="1F497D" w:themeColor="text2"/>
        </w:rPr>
      </w:pPr>
    </w:p>
    <w:p w14:paraId="74295B8D" w14:textId="443A1340" w:rsidR="0029648F" w:rsidRPr="001F73A7" w:rsidRDefault="0029648F" w:rsidP="001F73A7">
      <w:pPr>
        <w:pStyle w:val="Heading2"/>
      </w:pPr>
      <w:r w:rsidRPr="001F73A7">
        <w:t>Background</w:t>
      </w:r>
    </w:p>
    <w:p w14:paraId="03015924" w14:textId="4364C359" w:rsidR="0029648F" w:rsidRPr="001F73A7" w:rsidRDefault="0029648F" w:rsidP="001F73A7">
      <w:pPr>
        <w:spacing w:after="0"/>
      </w:pPr>
      <w:r w:rsidRPr="001F73A7">
        <w:t xml:space="preserve">The </w:t>
      </w:r>
      <w:r w:rsidR="00D878B6" w:rsidRPr="001F73A7">
        <w:t xml:space="preserve">Nita M. Lowey </w:t>
      </w:r>
      <w:r w:rsidRPr="001F73A7">
        <w:t>21</w:t>
      </w:r>
      <w:r w:rsidRPr="001F73A7">
        <w:rPr>
          <w:vertAlign w:val="superscript"/>
        </w:rPr>
        <w:t>st</w:t>
      </w:r>
      <w:r w:rsidRPr="001F73A7">
        <w:t xml:space="preserve"> Century Community Learning Center grant is federal funding </w:t>
      </w:r>
      <w:r w:rsidR="002C59DC" w:rsidRPr="001F73A7">
        <w:t xml:space="preserve">for out-of-school time programming, </w:t>
      </w:r>
      <w:r w:rsidRPr="001F73A7">
        <w:t xml:space="preserve">authorized under the </w:t>
      </w:r>
      <w:hyperlink r:id="rId9" w:history="1">
        <w:r w:rsidRPr="001F73A7">
          <w:rPr>
            <w:rStyle w:val="Hyperlink"/>
          </w:rPr>
          <w:t>Every Student Succeeds Act</w:t>
        </w:r>
      </w:hyperlink>
      <w:r w:rsidRPr="001F73A7">
        <w:rPr>
          <w:color w:val="1F497D" w:themeColor="text2"/>
        </w:rPr>
        <w:t xml:space="preserve"> </w:t>
      </w:r>
      <w:r w:rsidRPr="001F73A7">
        <w:t>(</w:t>
      </w:r>
      <w:r w:rsidR="004F2178" w:rsidRPr="001F73A7">
        <w:t xml:space="preserve">ESSA; see </w:t>
      </w:r>
      <w:r w:rsidRPr="001F73A7">
        <w:t xml:space="preserve">Title IV, Part B). Funding flows from the US Department of Education </w:t>
      </w:r>
      <w:r w:rsidR="001F2966" w:rsidRPr="001F73A7">
        <w:t xml:space="preserve">(the “grantor”) </w:t>
      </w:r>
      <w:r w:rsidRPr="001F73A7">
        <w:t>to the Rhode Island Department of Education (RIDE</w:t>
      </w:r>
      <w:r w:rsidR="001F2966" w:rsidRPr="001F73A7">
        <w:t>, the “grantee”</w:t>
      </w:r>
      <w:r w:rsidRPr="001F73A7">
        <w:t>). Annual funding amounts for the program are determined by Congress as part of the federal budget, with funding amounts for each state determined by federal formula based on population size and poverty rates.</w:t>
      </w:r>
      <w:r w:rsidR="001160EA" w:rsidRPr="001F73A7">
        <w:t xml:space="preserve"> RIDE, in turn, issues funding to Local Education Agencies (LEAs) or Community-Based Organizations (CBOs) </w:t>
      </w:r>
      <w:r w:rsidR="001F2966" w:rsidRPr="001F73A7">
        <w:t xml:space="preserve">(the “subgrantees”) </w:t>
      </w:r>
      <w:r w:rsidR="001160EA" w:rsidRPr="001F73A7">
        <w:t>as five-year grants, chosen through a competitive Request for Proposal process.</w:t>
      </w:r>
    </w:p>
    <w:p w14:paraId="61D54A36" w14:textId="4E8CF16D" w:rsidR="001160EA" w:rsidRPr="001F73A7" w:rsidRDefault="001160EA" w:rsidP="001F73A7">
      <w:pPr>
        <w:spacing w:after="0"/>
      </w:pPr>
    </w:p>
    <w:p w14:paraId="32D5FCCF" w14:textId="04867B99" w:rsidR="001160EA" w:rsidRPr="001F73A7" w:rsidRDefault="001160EA" w:rsidP="001F73A7">
      <w:pPr>
        <w:spacing w:after="0"/>
      </w:pPr>
      <w:r w:rsidRPr="001F73A7">
        <w:t xml:space="preserve">The funds are </w:t>
      </w:r>
      <w:r w:rsidR="002C59DC" w:rsidRPr="001F73A7">
        <w:t>governed by</w:t>
      </w:r>
      <w:r w:rsidRPr="001F73A7">
        <w:t xml:space="preserve"> the following</w:t>
      </w:r>
      <w:r w:rsidR="009031D5" w:rsidRPr="001F73A7">
        <w:t xml:space="preserve"> federal</w:t>
      </w:r>
      <w:r w:rsidRPr="001F73A7">
        <w:t xml:space="preserve"> fiscal regulations:</w:t>
      </w:r>
    </w:p>
    <w:p w14:paraId="1016CD73" w14:textId="5817F7FB" w:rsidR="001160EA" w:rsidRPr="001F73A7" w:rsidRDefault="00AA4960" w:rsidP="001F73A7">
      <w:pPr>
        <w:pStyle w:val="ListParagraph"/>
        <w:numPr>
          <w:ilvl w:val="0"/>
          <w:numId w:val="15"/>
        </w:numPr>
        <w:spacing w:after="0"/>
      </w:pPr>
      <w:hyperlink r:id="rId10" w:history="1">
        <w:r w:rsidR="001160EA" w:rsidRPr="001F73A7">
          <w:rPr>
            <w:rStyle w:val="Hyperlink"/>
          </w:rPr>
          <w:t>Title 34, CFR</w:t>
        </w:r>
      </w:hyperlink>
      <w:r w:rsidR="00E00664" w:rsidRPr="001F73A7">
        <w:t xml:space="preserve"> – Education Department General Administrative Regulations (EDGAR), especially </w:t>
      </w:r>
      <w:hyperlink r:id="rId11" w:history="1">
        <w:r w:rsidR="00E00664" w:rsidRPr="001F73A7">
          <w:rPr>
            <w:rStyle w:val="Hyperlink"/>
          </w:rPr>
          <w:t>Part 7</w:t>
        </w:r>
        <w:r w:rsidR="00522854" w:rsidRPr="001F73A7">
          <w:rPr>
            <w:rStyle w:val="Hyperlink"/>
          </w:rPr>
          <w:t>6 (State-Administered Programs)</w:t>
        </w:r>
      </w:hyperlink>
    </w:p>
    <w:p w14:paraId="3E9341BF" w14:textId="0CF9E6E4" w:rsidR="00E00664" w:rsidRPr="001F73A7" w:rsidRDefault="00AA4960" w:rsidP="001F73A7">
      <w:pPr>
        <w:pStyle w:val="ListParagraph"/>
        <w:numPr>
          <w:ilvl w:val="0"/>
          <w:numId w:val="15"/>
        </w:numPr>
        <w:spacing w:after="0"/>
      </w:pPr>
      <w:hyperlink r:id="rId12" w:history="1">
        <w:r w:rsidR="00E00664" w:rsidRPr="001F73A7">
          <w:rPr>
            <w:rStyle w:val="Hyperlink"/>
          </w:rPr>
          <w:t>Title 2, CFR</w:t>
        </w:r>
      </w:hyperlink>
      <w:r w:rsidR="00522854" w:rsidRPr="001F73A7">
        <w:t xml:space="preserve"> – Office of Management and Budget Guidance for Grants and Agreements, especially </w:t>
      </w:r>
      <w:hyperlink r:id="rId13" w:anchor="200" w:history="1">
        <w:r w:rsidR="00522854" w:rsidRPr="001F73A7">
          <w:rPr>
            <w:rStyle w:val="Hyperlink"/>
          </w:rPr>
          <w:t xml:space="preserve">Part 200 </w:t>
        </w:r>
        <w:r w:rsidR="00076836" w:rsidRPr="001F73A7">
          <w:rPr>
            <w:rStyle w:val="Hyperlink"/>
          </w:rPr>
          <w:t>(</w:t>
        </w:r>
        <w:r w:rsidR="00522854" w:rsidRPr="001F73A7">
          <w:rPr>
            <w:rStyle w:val="Hyperlink"/>
          </w:rPr>
          <w:t>“Uniform Guidance</w:t>
        </w:r>
        <w:r w:rsidR="00076836" w:rsidRPr="001F73A7">
          <w:rPr>
            <w:rStyle w:val="Hyperlink"/>
          </w:rPr>
          <w:t>”)</w:t>
        </w:r>
      </w:hyperlink>
    </w:p>
    <w:p w14:paraId="22F8C8D1" w14:textId="77777777" w:rsidR="001160EA" w:rsidRPr="001F73A7" w:rsidRDefault="001160EA" w:rsidP="001F73A7">
      <w:pPr>
        <w:spacing w:after="0"/>
      </w:pPr>
    </w:p>
    <w:p w14:paraId="71CFE7A0" w14:textId="0257353C" w:rsidR="005407A4" w:rsidRPr="001F73A7" w:rsidRDefault="005407A4" w:rsidP="001F73A7">
      <w:pPr>
        <w:pStyle w:val="Heading2"/>
      </w:pPr>
      <w:r w:rsidRPr="001F73A7">
        <w:t>Guiding Principles</w:t>
      </w:r>
    </w:p>
    <w:p w14:paraId="14F99454" w14:textId="45F20C55" w:rsidR="005407A4" w:rsidRPr="001F73A7" w:rsidRDefault="005407A4" w:rsidP="001F73A7">
      <w:pPr>
        <w:spacing w:after="0"/>
      </w:pPr>
      <w:r w:rsidRPr="001F73A7">
        <w:t>As with other federal funding streams, 21</w:t>
      </w:r>
      <w:r w:rsidRPr="001F73A7">
        <w:rPr>
          <w:vertAlign w:val="superscript"/>
        </w:rPr>
        <w:t>st</w:t>
      </w:r>
      <w:r w:rsidRPr="001F73A7">
        <w:t xml:space="preserve"> CCLC funds must meet these overarching federal requirements:</w:t>
      </w:r>
    </w:p>
    <w:p w14:paraId="398DF18A" w14:textId="77777777" w:rsidR="005407A4" w:rsidRPr="001F73A7" w:rsidRDefault="005407A4" w:rsidP="001F73A7">
      <w:pPr>
        <w:numPr>
          <w:ilvl w:val="0"/>
          <w:numId w:val="8"/>
        </w:numPr>
        <w:spacing w:after="0"/>
        <w:rPr>
          <w:b/>
        </w:rPr>
      </w:pPr>
      <w:r w:rsidRPr="001F73A7">
        <w:rPr>
          <w:b/>
        </w:rPr>
        <w:t>Allowable</w:t>
      </w:r>
      <w:r w:rsidRPr="001F73A7">
        <w:t xml:space="preserve"> – All costs charged to the grant must be allowable – or not specifically prohibited – under federal regulations (see below).</w:t>
      </w:r>
    </w:p>
    <w:p w14:paraId="1577FD99" w14:textId="3640505C" w:rsidR="005407A4" w:rsidRPr="001F73A7" w:rsidRDefault="005407A4" w:rsidP="001F73A7">
      <w:pPr>
        <w:numPr>
          <w:ilvl w:val="0"/>
          <w:numId w:val="8"/>
        </w:numPr>
        <w:spacing w:after="0"/>
      </w:pPr>
      <w:r w:rsidRPr="001F73A7">
        <w:rPr>
          <w:b/>
        </w:rPr>
        <w:t>Necessary</w:t>
      </w:r>
      <w:r w:rsidRPr="001F73A7">
        <w:t xml:space="preserve"> – All costs must be necessary for the program’s success. They should help to make an activity or the program as a whole function properly and effectively.</w:t>
      </w:r>
    </w:p>
    <w:p w14:paraId="37488E7B" w14:textId="77777777" w:rsidR="005407A4" w:rsidRPr="001F73A7" w:rsidRDefault="005407A4" w:rsidP="001F73A7">
      <w:pPr>
        <w:numPr>
          <w:ilvl w:val="0"/>
          <w:numId w:val="8"/>
        </w:numPr>
        <w:spacing w:after="0"/>
      </w:pPr>
      <w:r w:rsidRPr="001F73A7">
        <w:rPr>
          <w:b/>
        </w:rPr>
        <w:t>Reasonable</w:t>
      </w:r>
      <w:r w:rsidRPr="001F73A7">
        <w:t xml:space="preserve"> – For all expenditures, the grantee follows sound business practices, pays a fair market price, and acts with prudence.</w:t>
      </w:r>
    </w:p>
    <w:p w14:paraId="758ECB7D" w14:textId="6E54EE03" w:rsidR="005407A4" w:rsidRPr="001F73A7" w:rsidRDefault="005407A4" w:rsidP="001F73A7">
      <w:pPr>
        <w:numPr>
          <w:ilvl w:val="0"/>
          <w:numId w:val="8"/>
        </w:numPr>
        <w:spacing w:after="0"/>
      </w:pPr>
      <w:r w:rsidRPr="001F73A7">
        <w:rPr>
          <w:b/>
        </w:rPr>
        <w:t>Allocable</w:t>
      </w:r>
      <w:r w:rsidRPr="001F73A7">
        <w:t xml:space="preserve"> – The cost</w:t>
      </w:r>
      <w:r w:rsidR="00522854" w:rsidRPr="001F73A7">
        <w:t>s</w:t>
      </w:r>
      <w:r w:rsidRPr="001F73A7">
        <w:t xml:space="preserve"> must benefit the federal program in proportion to the amount charged to the </w:t>
      </w:r>
      <w:r w:rsidR="009031D5" w:rsidRPr="001F73A7">
        <w:t>grant</w:t>
      </w:r>
      <w:r w:rsidRPr="001F73A7">
        <w:t xml:space="preserve">. In other words, the federal grant </w:t>
      </w:r>
      <w:r w:rsidR="00932F32" w:rsidRPr="001F73A7">
        <w:t>can</w:t>
      </w:r>
      <w:r w:rsidRPr="001F73A7">
        <w:t xml:space="preserve">not pay for more than its share of any goods or services purchased (though it may pay for less). </w:t>
      </w:r>
      <w:r w:rsidR="00932F32" w:rsidRPr="001F73A7">
        <w:t xml:space="preserve">This includes staff time, as well as </w:t>
      </w:r>
      <w:r w:rsidR="00A6330C" w:rsidRPr="001F73A7">
        <w:t>supplies, equipment, etc.</w:t>
      </w:r>
    </w:p>
    <w:p w14:paraId="02216D34" w14:textId="77777777" w:rsidR="005407A4" w:rsidRPr="001F73A7" w:rsidRDefault="005407A4" w:rsidP="001F73A7">
      <w:pPr>
        <w:numPr>
          <w:ilvl w:val="0"/>
          <w:numId w:val="8"/>
        </w:numPr>
        <w:spacing w:after="0"/>
      </w:pPr>
      <w:r w:rsidRPr="001F73A7">
        <w:rPr>
          <w:b/>
        </w:rPr>
        <w:t>Documented</w:t>
      </w:r>
      <w:r w:rsidRPr="001F73A7">
        <w:t xml:space="preserve"> – The grantee must maintain documentation for all phases of the grant process. Such documentation should be sufficient to support the decision to spend funds and subsequently to trace how funds were spent.</w:t>
      </w:r>
    </w:p>
    <w:p w14:paraId="447B358D" w14:textId="77777777" w:rsidR="005407A4" w:rsidRPr="001F73A7" w:rsidRDefault="005407A4" w:rsidP="001F73A7">
      <w:pPr>
        <w:spacing w:after="0"/>
        <w:rPr>
          <w:color w:val="1F497D" w:themeColor="text2"/>
        </w:rPr>
      </w:pPr>
    </w:p>
    <w:p w14:paraId="4E4F76E9" w14:textId="00910E93" w:rsidR="00A01374" w:rsidRPr="001F73A7" w:rsidRDefault="00A01374" w:rsidP="001F73A7">
      <w:pPr>
        <w:pStyle w:val="Heading2"/>
      </w:pPr>
      <w:r w:rsidRPr="001F73A7">
        <w:t>Importance of Agency Policies</w:t>
      </w:r>
    </w:p>
    <w:p w14:paraId="682A2787" w14:textId="0352FF12" w:rsidR="00A01374" w:rsidRPr="001F73A7" w:rsidRDefault="00A01374" w:rsidP="001F73A7">
      <w:pPr>
        <w:rPr>
          <w:rFonts w:ascii="Calibri" w:eastAsia="Times New Roman" w:hAnsi="Calibri" w:cs="Calibri"/>
          <w:color w:val="000000"/>
        </w:rPr>
      </w:pPr>
      <w:r w:rsidRPr="001F73A7">
        <w:t xml:space="preserve">In many cases, the federal fiscal regulations do not mandate specific rules or procedures. Rather, they emphasize the importance of each agency that receives federal funds having clear, </w:t>
      </w:r>
      <w:r w:rsidR="002A2441" w:rsidRPr="001F73A7">
        <w:t xml:space="preserve">written, </w:t>
      </w:r>
      <w:r w:rsidRPr="001F73A7">
        <w:t xml:space="preserve">internal policies and procedures </w:t>
      </w:r>
      <w:r w:rsidR="00320E8A" w:rsidRPr="001F73A7">
        <w:t>(e.g.</w:t>
      </w:r>
      <w:r w:rsidR="00684C11" w:rsidRPr="001F73A7">
        <w:t>,</w:t>
      </w:r>
      <w:r w:rsidR="00320E8A" w:rsidRPr="001F73A7">
        <w:t xml:space="preserve"> related to procurement) </w:t>
      </w:r>
      <w:r w:rsidRPr="001F73A7">
        <w:t>and then following those policies and procedures faithfully</w:t>
      </w:r>
      <w:r w:rsidR="00EA7CD4" w:rsidRPr="001F73A7">
        <w:t xml:space="preserve"> [</w:t>
      </w:r>
      <w:r w:rsidR="00EA7CD4" w:rsidRPr="001F73A7">
        <w:rPr>
          <w:rFonts w:ascii="Calibri" w:eastAsia="Times New Roman" w:hAnsi="Calibri" w:cs="Calibri"/>
          <w:color w:val="000000"/>
        </w:rPr>
        <w:t>2 CFR § 200.400]</w:t>
      </w:r>
      <w:r w:rsidRPr="001F73A7">
        <w:t xml:space="preserve">. </w:t>
      </w:r>
      <w:r w:rsidR="00AF2A7E" w:rsidRPr="001F73A7">
        <w:t xml:space="preserve">It also includes other internal fiscal controls to </w:t>
      </w:r>
      <w:r w:rsidR="007D207B" w:rsidRPr="001F73A7">
        <w:t>ensure the effective, efficient</w:t>
      </w:r>
      <w:r w:rsidR="00A6330C" w:rsidRPr="001F73A7">
        <w:t>,</w:t>
      </w:r>
      <w:r w:rsidR="007D207B" w:rsidRPr="001F73A7">
        <w:t xml:space="preserve"> and appropriate use of funds as well as to </w:t>
      </w:r>
      <w:r w:rsidR="00AF2A7E" w:rsidRPr="001F73A7">
        <w:t xml:space="preserve">prevent potential waste, fraud, or abuse. </w:t>
      </w:r>
    </w:p>
    <w:p w14:paraId="463DDC40" w14:textId="77777777" w:rsidR="00A01374" w:rsidRPr="001F73A7" w:rsidRDefault="00A01374" w:rsidP="001F73A7">
      <w:pPr>
        <w:spacing w:after="0"/>
      </w:pPr>
    </w:p>
    <w:p w14:paraId="27138EDE" w14:textId="77777777" w:rsidR="009031D5" w:rsidRPr="001F73A7" w:rsidRDefault="009031D5" w:rsidP="001F73A7">
      <w:pPr>
        <w:pStyle w:val="Heading2"/>
      </w:pPr>
      <w:bookmarkStart w:id="0" w:name="_Hlk139532148"/>
      <w:r w:rsidRPr="001F73A7">
        <w:lastRenderedPageBreak/>
        <w:t>Supplement Not Supplant</w:t>
      </w:r>
    </w:p>
    <w:p w14:paraId="345CA13B" w14:textId="02D174C9" w:rsidR="009031D5" w:rsidRPr="001F73A7" w:rsidRDefault="009031D5" w:rsidP="001F73A7">
      <w:pPr>
        <w:spacing w:after="0"/>
      </w:pPr>
      <w:proofErr w:type="gramStart"/>
      <w:r w:rsidRPr="001F73A7">
        <w:t>Similar to</w:t>
      </w:r>
      <w:proofErr w:type="gramEnd"/>
      <w:r w:rsidRPr="001F73A7">
        <w:t xml:space="preserve"> other federal education funding streams, 21</w:t>
      </w:r>
      <w:r w:rsidRPr="001F73A7">
        <w:rPr>
          <w:vertAlign w:val="superscript"/>
        </w:rPr>
        <w:t>st</w:t>
      </w:r>
      <w:r w:rsidRPr="001F73A7">
        <w:t xml:space="preserve"> CCLC funds should only be used to supplement, not supplant, other federal, state, and local public sources of funding</w:t>
      </w:r>
      <w:r w:rsidR="004F2178" w:rsidRPr="001F73A7">
        <w:t xml:space="preserve"> [ESSA </w:t>
      </w:r>
      <w:r w:rsidR="004F2178" w:rsidRPr="001F73A7">
        <w:rPr>
          <w:rFonts w:cstheme="minorHAnsi"/>
        </w:rPr>
        <w:t>§</w:t>
      </w:r>
      <w:r w:rsidR="004F2178" w:rsidRPr="001F73A7">
        <w:t>4204(b)(2)(G)]</w:t>
      </w:r>
      <w:r w:rsidRPr="001F73A7">
        <w:t xml:space="preserve">. </w:t>
      </w:r>
    </w:p>
    <w:p w14:paraId="60A23251" w14:textId="77777777" w:rsidR="009031D5" w:rsidRPr="001F73A7" w:rsidRDefault="009031D5" w:rsidP="001F73A7">
      <w:pPr>
        <w:spacing w:after="0"/>
      </w:pPr>
    </w:p>
    <w:p w14:paraId="49713E1E" w14:textId="4C9153B8" w:rsidR="009031D5" w:rsidRPr="001F73A7" w:rsidRDefault="009031D5" w:rsidP="001F73A7">
      <w:pPr>
        <w:spacing w:after="0"/>
      </w:pPr>
      <w:r w:rsidRPr="001F73A7">
        <w:t xml:space="preserve">There are </w:t>
      </w:r>
      <w:r w:rsidR="004F2178" w:rsidRPr="001F73A7">
        <w:t>two</w:t>
      </w:r>
      <w:r w:rsidRPr="001F73A7">
        <w:t xml:space="preserve"> basic presumptions of supplanting:</w:t>
      </w:r>
    </w:p>
    <w:p w14:paraId="1868E5EF" w14:textId="77777777" w:rsidR="009031D5" w:rsidRPr="001F73A7" w:rsidRDefault="009031D5" w:rsidP="001F73A7">
      <w:pPr>
        <w:numPr>
          <w:ilvl w:val="0"/>
          <w:numId w:val="4"/>
        </w:numPr>
        <w:spacing w:after="0"/>
      </w:pPr>
      <w:r w:rsidRPr="001F73A7">
        <w:t>Using 21</w:t>
      </w:r>
      <w:r w:rsidRPr="001F73A7">
        <w:rPr>
          <w:vertAlign w:val="superscript"/>
        </w:rPr>
        <w:t>st</w:t>
      </w:r>
      <w:r w:rsidRPr="001F73A7">
        <w:t xml:space="preserve"> CCLC funds to provide services that an LEA is required to provide under federal, state, or local law.</w:t>
      </w:r>
    </w:p>
    <w:p w14:paraId="0B49BDEC" w14:textId="77777777" w:rsidR="009031D5" w:rsidRPr="001F73A7" w:rsidRDefault="009031D5" w:rsidP="001F73A7">
      <w:pPr>
        <w:numPr>
          <w:ilvl w:val="0"/>
          <w:numId w:val="4"/>
        </w:numPr>
        <w:spacing w:after="0"/>
      </w:pPr>
      <w:r w:rsidRPr="001F73A7">
        <w:t>Using 21</w:t>
      </w:r>
      <w:r w:rsidRPr="001F73A7">
        <w:rPr>
          <w:vertAlign w:val="superscript"/>
        </w:rPr>
        <w:t>st</w:t>
      </w:r>
      <w:r w:rsidRPr="001F73A7">
        <w:t xml:space="preserve"> CCLC funds to provide services that were provided with non-federal funds in the prior year(s).</w:t>
      </w:r>
    </w:p>
    <w:p w14:paraId="4A318BA2" w14:textId="77777777" w:rsidR="00FB4B90" w:rsidRPr="001F73A7" w:rsidRDefault="00FB4B90" w:rsidP="001F73A7">
      <w:pPr>
        <w:spacing w:after="0"/>
      </w:pPr>
    </w:p>
    <w:p w14:paraId="4808D2AE" w14:textId="77777777" w:rsidR="00211F09" w:rsidRPr="001F73A7" w:rsidRDefault="00211F09" w:rsidP="001F73A7">
      <w:pPr>
        <w:pStyle w:val="NormalWeb"/>
        <w:spacing w:before="0" w:beforeAutospacing="0" w:after="0" w:afterAutospacing="0"/>
      </w:pPr>
      <w:r w:rsidRPr="001F73A7">
        <w:rPr>
          <w:rFonts w:ascii="Calibri" w:hAnsi="Calibri" w:cs="Calibri"/>
          <w:color w:val="000000"/>
          <w:sz w:val="22"/>
          <w:szCs w:val="22"/>
        </w:rPr>
        <w:t>When one of those situations arises, it is presumed to be supplanting. However, you can rebut those presumptions. For example, with #2, if you can show that the funds you used in the past are no longer available (e.g., a grant has ended) and these services would go away in the absence of 21</w:t>
      </w:r>
      <w:r w:rsidRPr="001F73A7">
        <w:rPr>
          <w:rFonts w:ascii="Calibri" w:hAnsi="Calibri" w:cs="Calibri"/>
          <w:color w:val="000000"/>
          <w:sz w:val="13"/>
          <w:szCs w:val="13"/>
          <w:vertAlign w:val="superscript"/>
        </w:rPr>
        <w:t>st</w:t>
      </w:r>
      <w:r w:rsidRPr="001F73A7">
        <w:rPr>
          <w:rFonts w:ascii="Calibri" w:hAnsi="Calibri" w:cs="Calibri"/>
          <w:color w:val="000000"/>
          <w:sz w:val="22"/>
          <w:szCs w:val="22"/>
        </w:rPr>
        <w:t xml:space="preserve"> CCLC funds, then there is no supplanting. </w:t>
      </w:r>
    </w:p>
    <w:p w14:paraId="246B6767" w14:textId="18F34773" w:rsidR="00A16980" w:rsidRPr="001F73A7" w:rsidRDefault="00A16980" w:rsidP="001F73A7">
      <w:pPr>
        <w:spacing w:after="0"/>
      </w:pPr>
    </w:p>
    <w:p w14:paraId="7C7A76C1" w14:textId="119729FE" w:rsidR="00211F09" w:rsidRPr="001F73A7" w:rsidRDefault="00211F09" w:rsidP="001F73A7">
      <w:pPr>
        <w:spacing w:after="0"/>
      </w:pPr>
      <w:r w:rsidRPr="001F73A7">
        <w:t>For 21</w:t>
      </w:r>
      <w:r w:rsidRPr="001F73A7">
        <w:rPr>
          <w:vertAlign w:val="superscript"/>
        </w:rPr>
        <w:t>st</w:t>
      </w:r>
      <w:r w:rsidRPr="001F73A7">
        <w:t xml:space="preserve"> CCLC, questions of supplanting come up most frequently with staffing, particularly when a position is listed in the grant budget that was not listed in the previous budget. Please see “Categories 51000/52000 Employee Compensation and Benefits” in Section II below.</w:t>
      </w:r>
    </w:p>
    <w:p w14:paraId="14E9D8CF" w14:textId="012AD3E9" w:rsidR="00211F09" w:rsidRPr="001F73A7" w:rsidRDefault="00211F09" w:rsidP="001F73A7">
      <w:pPr>
        <w:spacing w:after="0"/>
      </w:pPr>
    </w:p>
    <w:bookmarkEnd w:id="0"/>
    <w:p w14:paraId="2A00F56D" w14:textId="77777777" w:rsidR="009031D5" w:rsidRPr="001F73A7" w:rsidRDefault="009031D5" w:rsidP="001F73A7">
      <w:pPr>
        <w:spacing w:after="0"/>
      </w:pPr>
    </w:p>
    <w:p w14:paraId="2FDF6D68" w14:textId="77777777" w:rsidR="00522854" w:rsidRPr="001F73A7" w:rsidRDefault="00522854" w:rsidP="001F73A7">
      <w:pPr>
        <w:spacing w:after="0"/>
        <w:rPr>
          <w:b/>
          <w:color w:val="1F497D" w:themeColor="text2"/>
          <w:sz w:val="24"/>
        </w:rPr>
      </w:pPr>
      <w:r w:rsidRPr="001F73A7">
        <w:rPr>
          <w:b/>
          <w:color w:val="1F497D" w:themeColor="text2"/>
          <w:sz w:val="24"/>
        </w:rPr>
        <w:br w:type="page"/>
      </w:r>
    </w:p>
    <w:p w14:paraId="3E616C37" w14:textId="571DDE21" w:rsidR="005407A4" w:rsidRPr="001F73A7" w:rsidRDefault="005407A4" w:rsidP="001F73A7">
      <w:pPr>
        <w:pStyle w:val="Heading1"/>
      </w:pPr>
      <w:r w:rsidRPr="001F73A7">
        <w:lastRenderedPageBreak/>
        <w:t>II. Budget and Budget Narrative</w:t>
      </w:r>
    </w:p>
    <w:p w14:paraId="5CAE4BFF" w14:textId="77777777" w:rsidR="00F30771" w:rsidRPr="001F73A7" w:rsidRDefault="00F30771" w:rsidP="001F73A7">
      <w:pPr>
        <w:spacing w:after="0"/>
        <w:rPr>
          <w:b/>
          <w:color w:val="1F497D" w:themeColor="text2"/>
        </w:rPr>
      </w:pPr>
    </w:p>
    <w:p w14:paraId="01B928EB" w14:textId="3FA5F4D4" w:rsidR="009D69B0" w:rsidRPr="001F73A7" w:rsidRDefault="00DB510D" w:rsidP="001F73A7">
      <w:pPr>
        <w:pStyle w:val="Heading2"/>
      </w:pPr>
      <w:r w:rsidRPr="001F73A7">
        <w:t>Purpose</w:t>
      </w:r>
    </w:p>
    <w:p w14:paraId="7F13BA38" w14:textId="77777777" w:rsidR="00A16980" w:rsidRPr="001F73A7" w:rsidRDefault="0072484A" w:rsidP="001F73A7">
      <w:pPr>
        <w:spacing w:after="0"/>
      </w:pPr>
      <w:r w:rsidRPr="001F73A7">
        <w:t xml:space="preserve">The goal for the </w:t>
      </w:r>
      <w:r w:rsidR="00103B3D" w:rsidRPr="001F73A7">
        <w:rPr>
          <w:i/>
        </w:rPr>
        <w:t>B</w:t>
      </w:r>
      <w:r w:rsidRPr="001F73A7">
        <w:rPr>
          <w:i/>
        </w:rPr>
        <w:t>udget</w:t>
      </w:r>
      <w:r w:rsidRPr="001F73A7">
        <w:t xml:space="preserve"> </w:t>
      </w:r>
      <w:r w:rsidR="00522854" w:rsidRPr="001F73A7">
        <w:t xml:space="preserve">and the </w:t>
      </w:r>
      <w:r w:rsidR="00103B3D" w:rsidRPr="001F73A7">
        <w:rPr>
          <w:i/>
        </w:rPr>
        <w:t>B</w:t>
      </w:r>
      <w:r w:rsidR="00522854" w:rsidRPr="001F73A7">
        <w:rPr>
          <w:i/>
        </w:rPr>
        <w:t xml:space="preserve">udget </w:t>
      </w:r>
      <w:r w:rsidR="00103B3D" w:rsidRPr="001F73A7">
        <w:rPr>
          <w:i/>
        </w:rPr>
        <w:t>N</w:t>
      </w:r>
      <w:r w:rsidR="00522854" w:rsidRPr="001F73A7">
        <w:rPr>
          <w:i/>
        </w:rPr>
        <w:t>arrative</w:t>
      </w:r>
      <w:r w:rsidR="00522854" w:rsidRPr="001F73A7">
        <w:t xml:space="preserve"> </w:t>
      </w:r>
      <w:r w:rsidR="00103B3D" w:rsidRPr="001F73A7">
        <w:t xml:space="preserve">forms </w:t>
      </w:r>
      <w:r w:rsidRPr="001F73A7">
        <w:t xml:space="preserve">is for an outside reader to be able to </w:t>
      </w:r>
      <w:r w:rsidR="001F338C" w:rsidRPr="001F73A7">
        <w:t xml:space="preserve">understand clearly how the funds will be spent and how the program will operate. </w:t>
      </w:r>
      <w:r w:rsidR="002C59DC" w:rsidRPr="001F73A7">
        <w:t xml:space="preserve">The </w:t>
      </w:r>
      <w:r w:rsidR="00610BFE" w:rsidRPr="001F73A7">
        <w:t>b</w:t>
      </w:r>
      <w:r w:rsidR="002C59DC" w:rsidRPr="001F73A7">
        <w:t xml:space="preserve">udget provides a visual snapshot, with specific dollar amounts for each item, while the </w:t>
      </w:r>
      <w:r w:rsidR="00610BFE" w:rsidRPr="001F73A7">
        <w:t>b</w:t>
      </w:r>
      <w:r w:rsidR="002C59DC" w:rsidRPr="001F73A7">
        <w:t xml:space="preserve">udget </w:t>
      </w:r>
      <w:r w:rsidR="00610BFE" w:rsidRPr="001F73A7">
        <w:t>n</w:t>
      </w:r>
      <w:r w:rsidR="002C59DC" w:rsidRPr="001F73A7">
        <w:t xml:space="preserve">arrative provides additional detail and justification. </w:t>
      </w:r>
    </w:p>
    <w:p w14:paraId="3C9C5E73" w14:textId="77777777" w:rsidR="00A16980" w:rsidRPr="001F73A7" w:rsidRDefault="00A16980" w:rsidP="001F73A7">
      <w:pPr>
        <w:spacing w:after="0"/>
      </w:pPr>
    </w:p>
    <w:p w14:paraId="5BD68924" w14:textId="5B85F62A" w:rsidR="00A16980" w:rsidRPr="001F73A7" w:rsidRDefault="003F7EE0" w:rsidP="001F73A7">
      <w:pPr>
        <w:spacing w:after="0"/>
      </w:pPr>
      <w:r w:rsidRPr="001F73A7">
        <w:t>For each item in your budget request, you should describe what it is, what the rate or cost basis is, and how many or how much you are purchasing. If appropriate, please make it clear how many students will be served with each item.</w:t>
      </w:r>
      <w:r w:rsidR="009D1D3A" w:rsidRPr="001F73A7">
        <w:t xml:space="preserve"> </w:t>
      </w:r>
      <w:r w:rsidR="00220368" w:rsidRPr="001F73A7">
        <w:t>The cost basis should be an equation (or number sentence) that clarifies how you got to the total dollar amount for each line</w:t>
      </w:r>
      <w:r w:rsidR="00A16980" w:rsidRPr="001F73A7">
        <w:t>. Examples of cost basis include</w:t>
      </w:r>
      <w:r w:rsidR="0049501F" w:rsidRPr="001F73A7">
        <w:t>:</w:t>
      </w:r>
    </w:p>
    <w:p w14:paraId="1420629F" w14:textId="77777777" w:rsidR="00A16980" w:rsidRPr="001F73A7" w:rsidRDefault="00220368" w:rsidP="001F73A7">
      <w:pPr>
        <w:pStyle w:val="ListParagraph"/>
        <w:numPr>
          <w:ilvl w:val="0"/>
          <w:numId w:val="30"/>
        </w:numPr>
        <w:spacing w:after="0"/>
      </w:pPr>
      <w:r w:rsidRPr="001F73A7">
        <w:t>X hours * Y $/hour = $Z</w:t>
      </w:r>
    </w:p>
    <w:p w14:paraId="7B878FBB" w14:textId="52756739" w:rsidR="00A16980" w:rsidRPr="001F73A7" w:rsidRDefault="00220368" w:rsidP="001F73A7">
      <w:pPr>
        <w:pStyle w:val="ListParagraph"/>
        <w:numPr>
          <w:ilvl w:val="0"/>
          <w:numId w:val="30"/>
        </w:numPr>
        <w:spacing w:after="0"/>
      </w:pPr>
      <w:r w:rsidRPr="001F73A7">
        <w:t>X contracts * Y $/contract = $</w:t>
      </w:r>
      <w:r w:rsidR="006B77B2" w:rsidRPr="001F73A7">
        <w:t>Z</w:t>
      </w:r>
    </w:p>
    <w:p w14:paraId="68C4EF5A" w14:textId="77777777" w:rsidR="00A16980" w:rsidRPr="001F73A7" w:rsidRDefault="00220368" w:rsidP="001F73A7">
      <w:pPr>
        <w:pStyle w:val="ListParagraph"/>
        <w:numPr>
          <w:ilvl w:val="0"/>
          <w:numId w:val="30"/>
        </w:numPr>
        <w:spacing w:after="0"/>
      </w:pPr>
      <w:r w:rsidRPr="001F73A7">
        <w:t>X $/student in supplies at * Y students = $Z</w:t>
      </w:r>
    </w:p>
    <w:p w14:paraId="26C50FF5" w14:textId="7CA6AB35" w:rsidR="0049501F" w:rsidRPr="001F73A7" w:rsidRDefault="00D52382" w:rsidP="001F73A7">
      <w:pPr>
        <w:spacing w:after="0"/>
      </w:pPr>
      <w:r w:rsidRPr="001F73A7">
        <w:t>T</w:t>
      </w:r>
      <w:r w:rsidR="001F338C" w:rsidRPr="001F73A7">
        <w:t xml:space="preserve">he </w:t>
      </w:r>
      <w:r w:rsidR="00211F09" w:rsidRPr="001F73A7">
        <w:t xml:space="preserve">cost basis should allow the </w:t>
      </w:r>
      <w:r w:rsidR="001F338C" w:rsidRPr="001F73A7">
        <w:t xml:space="preserve">reader to </w:t>
      </w:r>
      <w:r w:rsidR="0072484A" w:rsidRPr="001F73A7">
        <w:t xml:space="preserve">assess whether the spending </w:t>
      </w:r>
      <w:r w:rsidR="00522854" w:rsidRPr="001F73A7">
        <w:t>is allowable, necessary</w:t>
      </w:r>
      <w:r w:rsidR="00211F09" w:rsidRPr="001F73A7">
        <w:t>,</w:t>
      </w:r>
      <w:r w:rsidR="00522854" w:rsidRPr="001F73A7">
        <w:t xml:space="preserve"> and reasonable. </w:t>
      </w:r>
      <w:r w:rsidR="0049501F" w:rsidRPr="001F73A7">
        <w:t xml:space="preserve">For budget items that may contain various types of expenses (e.g., a family engagement activity that includes food, supplies, and additional staff time), please provide a breakdown of how much would be spent on each, as well as the cost basis(es). </w:t>
      </w:r>
    </w:p>
    <w:p w14:paraId="0A06336F" w14:textId="77777777" w:rsidR="0049501F" w:rsidRPr="001F73A7" w:rsidRDefault="0049501F" w:rsidP="001F73A7">
      <w:pPr>
        <w:spacing w:after="0"/>
      </w:pPr>
    </w:p>
    <w:p w14:paraId="506F0534" w14:textId="25F0FD8E" w:rsidR="0049501F" w:rsidRPr="001F73A7" w:rsidRDefault="00804D7F" w:rsidP="001F73A7">
      <w:pPr>
        <w:spacing w:after="0"/>
      </w:pPr>
      <w:r w:rsidRPr="001F73A7">
        <w:t>Please pay attention to who the fiscal agent is for the grant w</w:t>
      </w:r>
      <w:r w:rsidR="0049501F" w:rsidRPr="001F73A7">
        <w:t>hen determining which budget categories various items belong</w:t>
      </w:r>
      <w:r w:rsidRPr="001F73A7">
        <w:t xml:space="preserve"> in</w:t>
      </w:r>
      <w:r w:rsidR="0049501F" w:rsidRPr="001F73A7">
        <w:t xml:space="preserve">. For instance, </w:t>
      </w:r>
      <w:r w:rsidRPr="001F73A7">
        <w:t>if the school district is the fiscal agent, then supplies purchased by a Community-Based Organization partner would be under the 53000 Purchased Services category, rather than 56000 Supplies &amp; Materials. Likewise, if a CBO is the grant recipient, then teachers paid by the school district (and reimbursed by the CBO) would be included in 53000 Purchased Services, rather than 51000/52000 Employee Compensation and Benefits.</w:t>
      </w:r>
    </w:p>
    <w:p w14:paraId="01B928F3" w14:textId="77777777" w:rsidR="00FF6870" w:rsidRPr="001F73A7" w:rsidRDefault="00FF6870" w:rsidP="001F73A7">
      <w:pPr>
        <w:spacing w:after="0"/>
      </w:pPr>
    </w:p>
    <w:p w14:paraId="40ACA790" w14:textId="56EF116B" w:rsidR="00D45E72" w:rsidRPr="001F73A7" w:rsidRDefault="00FA39D6" w:rsidP="001F73A7">
      <w:pPr>
        <w:pStyle w:val="Heading2"/>
      </w:pPr>
      <w:r w:rsidRPr="001F73A7">
        <w:t xml:space="preserve">Categories 51000/52000 </w:t>
      </w:r>
      <w:r w:rsidR="002C59DC" w:rsidRPr="001F73A7">
        <w:t xml:space="preserve">Employee Compensation </w:t>
      </w:r>
      <w:r w:rsidRPr="001F73A7">
        <w:t>and Benefits</w:t>
      </w:r>
      <w:r w:rsidR="00A63785" w:rsidRPr="001F73A7">
        <w:t xml:space="preserve"> </w:t>
      </w:r>
    </w:p>
    <w:p w14:paraId="4747C3B5" w14:textId="4DCF263E" w:rsidR="002143B0" w:rsidRPr="001F73A7" w:rsidRDefault="00D45E72" w:rsidP="001F73A7">
      <w:pPr>
        <w:spacing w:after="0"/>
      </w:pPr>
      <w:r w:rsidRPr="001F73A7">
        <w:t xml:space="preserve">This category is for </w:t>
      </w:r>
      <w:r w:rsidR="0000406E" w:rsidRPr="001F73A7">
        <w:t>e</w:t>
      </w:r>
      <w:r w:rsidR="00A63785" w:rsidRPr="001F73A7">
        <w:t>mployees hired by the fiscal agent</w:t>
      </w:r>
      <w:r w:rsidRPr="001F73A7">
        <w:t xml:space="preserve">, including </w:t>
      </w:r>
      <w:proofErr w:type="spellStart"/>
      <w:r w:rsidRPr="001F73A7">
        <w:t>stipend</w:t>
      </w:r>
      <w:r w:rsidR="00FB4B90" w:rsidRPr="001F73A7">
        <w:t>ed</w:t>
      </w:r>
      <w:proofErr w:type="spellEnd"/>
      <w:r w:rsidR="00FB4B90" w:rsidRPr="001F73A7">
        <w:t xml:space="preserve"> positions</w:t>
      </w:r>
      <w:r w:rsidR="008B5DAA" w:rsidRPr="001F73A7">
        <w:t>, but not for consultants or contractors</w:t>
      </w:r>
      <w:r w:rsidRPr="001F73A7">
        <w:t>.</w:t>
      </w:r>
      <w:r w:rsidR="00864742" w:rsidRPr="001F73A7">
        <w:t xml:space="preserve"> </w:t>
      </w:r>
      <w:r w:rsidR="0072484A" w:rsidRPr="001F73A7">
        <w:t>If a position is salaried</w:t>
      </w:r>
      <w:r w:rsidR="00FF6870" w:rsidRPr="001F73A7">
        <w:t>,</w:t>
      </w:r>
      <w:r w:rsidR="0072484A" w:rsidRPr="001F73A7">
        <w:t xml:space="preserve"> p</w:t>
      </w:r>
      <w:r w:rsidR="00FC093D" w:rsidRPr="001F73A7">
        <w:t xml:space="preserve">lease ensure that the </w:t>
      </w:r>
      <w:r w:rsidR="00815F2C" w:rsidRPr="001F73A7">
        <w:t>FTE of Position and % Paid for by this Grant</w:t>
      </w:r>
      <w:r w:rsidR="002C59DC" w:rsidRPr="001F73A7">
        <w:t xml:space="preserve"> columns are complete</w:t>
      </w:r>
      <w:r w:rsidR="00C97613" w:rsidRPr="001F73A7">
        <w:t xml:space="preserve">. </w:t>
      </w:r>
      <w:r w:rsidR="00815F2C" w:rsidRPr="001F73A7">
        <w:t xml:space="preserve">In the </w:t>
      </w:r>
      <w:r w:rsidR="002C59DC" w:rsidRPr="001F73A7">
        <w:t>former</w:t>
      </w:r>
      <w:r w:rsidR="009D1D3A" w:rsidRPr="001F73A7">
        <w:t>,</w:t>
      </w:r>
      <w:r w:rsidR="00815F2C" w:rsidRPr="001F73A7">
        <w:t xml:space="preserve"> you should say </w:t>
      </w:r>
      <w:r w:rsidR="002143B0" w:rsidRPr="001F73A7">
        <w:t xml:space="preserve">how many Full-Time Equivalents </w:t>
      </w:r>
      <w:r w:rsidR="00815F2C" w:rsidRPr="001F73A7">
        <w:t xml:space="preserve">a position is </w:t>
      </w:r>
      <w:r w:rsidR="002143B0" w:rsidRPr="001F73A7">
        <w:t>(i.e.</w:t>
      </w:r>
      <w:r w:rsidR="00211F09" w:rsidRPr="001F73A7">
        <w:t>,</w:t>
      </w:r>
      <w:r w:rsidR="002143B0" w:rsidRPr="001F73A7">
        <w:t xml:space="preserve"> </w:t>
      </w:r>
      <w:r w:rsidR="003C1DF6" w:rsidRPr="001F73A7">
        <w:t>1.00 FTE</w:t>
      </w:r>
      <w:r w:rsidR="00815F2C" w:rsidRPr="001F73A7">
        <w:t xml:space="preserve">, </w:t>
      </w:r>
      <w:r w:rsidR="003C1DF6" w:rsidRPr="001F73A7">
        <w:t>0.33 FTE</w:t>
      </w:r>
      <w:r w:rsidR="00815F2C" w:rsidRPr="001F73A7">
        <w:t>, etc</w:t>
      </w:r>
      <w:r w:rsidR="00C97613" w:rsidRPr="001F73A7">
        <w:t>.</w:t>
      </w:r>
      <w:r w:rsidR="002143B0" w:rsidRPr="001F73A7">
        <w:t>)</w:t>
      </w:r>
      <w:r w:rsidR="00C97613" w:rsidRPr="001F73A7">
        <w:t xml:space="preserve"> </w:t>
      </w:r>
      <w:r w:rsidR="00815F2C" w:rsidRPr="001F73A7">
        <w:t xml:space="preserve">In the </w:t>
      </w:r>
      <w:r w:rsidR="002C59DC" w:rsidRPr="001F73A7">
        <w:t xml:space="preserve">latter </w:t>
      </w:r>
      <w:r w:rsidR="00815F2C" w:rsidRPr="001F73A7">
        <w:t>you should indicate how much of the position is paid for with this grant</w:t>
      </w:r>
      <w:r w:rsidR="002143B0" w:rsidRPr="001F73A7">
        <w:t>, as opposed to other funding sources</w:t>
      </w:r>
      <w:r w:rsidR="00C97613" w:rsidRPr="001F73A7">
        <w:t xml:space="preserve">. </w:t>
      </w:r>
      <w:r w:rsidR="0072484A" w:rsidRPr="001F73A7">
        <w:t>If a position is hourly</w:t>
      </w:r>
      <w:r w:rsidR="001F338C" w:rsidRPr="001F73A7">
        <w:t>, please</w:t>
      </w:r>
      <w:r w:rsidR="0072484A" w:rsidRPr="001F73A7">
        <w:t xml:space="preserve"> leave the FTE column blank and instead</w:t>
      </w:r>
      <w:r w:rsidR="00FC093D" w:rsidRPr="001F73A7">
        <w:t xml:space="preserve"> include the hours and rate</w:t>
      </w:r>
      <w:r w:rsidR="0072484A" w:rsidRPr="001F73A7">
        <w:t xml:space="preserve"> in the </w:t>
      </w:r>
      <w:r w:rsidR="002143B0" w:rsidRPr="001F73A7">
        <w:t>Position column</w:t>
      </w:r>
      <w:r w:rsidR="00FF6870" w:rsidRPr="001F73A7">
        <w:t xml:space="preserve">. </w:t>
      </w:r>
      <w:r w:rsidR="002F7FF3" w:rsidRPr="001F73A7">
        <w:t>Whether salaried or hourly</w:t>
      </w:r>
      <w:r w:rsidR="0072484A" w:rsidRPr="001F73A7">
        <w:t>, each line should</w:t>
      </w:r>
      <w:r w:rsidR="00FC093D" w:rsidRPr="001F73A7">
        <w:t xml:space="preserve"> only list </w:t>
      </w:r>
      <w:r w:rsidR="002F7FF3" w:rsidRPr="001F73A7">
        <w:t xml:space="preserve">the amount paid for by </w:t>
      </w:r>
      <w:r w:rsidR="00FC093D" w:rsidRPr="001F73A7">
        <w:t>21st CCLC funds</w:t>
      </w:r>
      <w:r w:rsidR="00FF6870" w:rsidRPr="001F73A7">
        <w:t xml:space="preserve">. </w:t>
      </w:r>
      <w:r w:rsidR="00FC093D" w:rsidRPr="001F73A7">
        <w:t xml:space="preserve">If a position is dedicated full-time to the 21st CCLC but is also supported through other funds, please note that in the </w:t>
      </w:r>
      <w:r w:rsidR="00610BFE" w:rsidRPr="001F73A7">
        <w:t>b</w:t>
      </w:r>
      <w:r w:rsidR="00FC093D" w:rsidRPr="001F73A7">
        <w:t xml:space="preserve">udget </w:t>
      </w:r>
      <w:r w:rsidR="00610BFE" w:rsidRPr="001F73A7">
        <w:t>n</w:t>
      </w:r>
      <w:r w:rsidR="00FC093D" w:rsidRPr="001F73A7">
        <w:t>arrative.</w:t>
      </w:r>
      <w:r w:rsidR="0000406E" w:rsidRPr="001F73A7">
        <w:t xml:space="preserve"> </w:t>
      </w:r>
    </w:p>
    <w:p w14:paraId="573BC566" w14:textId="77777777" w:rsidR="002143B0" w:rsidRPr="001F73A7" w:rsidRDefault="002143B0" w:rsidP="001F73A7">
      <w:pPr>
        <w:spacing w:after="0"/>
      </w:pPr>
    </w:p>
    <w:p w14:paraId="01B928F5" w14:textId="57576D92" w:rsidR="00FC093D" w:rsidRPr="001F73A7" w:rsidRDefault="00220368" w:rsidP="001F73A7">
      <w:pPr>
        <w:spacing w:after="0"/>
      </w:pPr>
      <w:r w:rsidRPr="001F73A7">
        <w:t>Every salary line budgeted must have a corresponding fringe benefits amount</w:t>
      </w:r>
      <w:r w:rsidR="004F2178" w:rsidRPr="001F73A7">
        <w:t xml:space="preserve"> – even if it only includes 1.45% for Medicare</w:t>
      </w:r>
      <w:r w:rsidRPr="001F73A7">
        <w:t xml:space="preserve">. </w:t>
      </w:r>
      <w:r w:rsidR="004F2178" w:rsidRPr="001F73A7">
        <w:t>This</w:t>
      </w:r>
      <w:r w:rsidR="0049501F" w:rsidRPr="001F73A7">
        <w:t xml:space="preserve"> column</w:t>
      </w:r>
      <w:r w:rsidR="004F2178" w:rsidRPr="001F73A7">
        <w:t xml:space="preserve"> should not be blank or $0. </w:t>
      </w:r>
      <w:r w:rsidR="002143B0" w:rsidRPr="001F73A7">
        <w:t xml:space="preserve">In the </w:t>
      </w:r>
      <w:r w:rsidR="00610BFE" w:rsidRPr="001F73A7">
        <w:t>b</w:t>
      </w:r>
      <w:r w:rsidR="002143B0" w:rsidRPr="001F73A7">
        <w:t xml:space="preserve">udget </w:t>
      </w:r>
      <w:r w:rsidR="00610BFE" w:rsidRPr="001F73A7">
        <w:t>n</w:t>
      </w:r>
      <w:r w:rsidR="002143B0" w:rsidRPr="001F73A7">
        <w:t>arrative, please indicate how the fringe benefits were calculated and a brief description of what is included. 21</w:t>
      </w:r>
      <w:r w:rsidR="002143B0" w:rsidRPr="001F73A7">
        <w:rPr>
          <w:vertAlign w:val="superscript"/>
        </w:rPr>
        <w:t>st</w:t>
      </w:r>
      <w:r w:rsidR="002143B0" w:rsidRPr="001F73A7">
        <w:t xml:space="preserve"> CCLC funds should not be supplanting costs for fringe benefits covered by other funding sources (e.g.</w:t>
      </w:r>
      <w:r w:rsidR="00211F09" w:rsidRPr="001F73A7">
        <w:t>,</w:t>
      </w:r>
      <w:r w:rsidR="002143B0" w:rsidRPr="001F73A7">
        <w:t xml:space="preserve"> health insurance for school day teachers). </w:t>
      </w:r>
      <w:r w:rsidR="0000406E" w:rsidRPr="001F73A7">
        <w:t xml:space="preserve">For positions with </w:t>
      </w:r>
      <w:r w:rsidR="001F338C" w:rsidRPr="001F73A7">
        <w:t xml:space="preserve">more than one </w:t>
      </w:r>
      <w:r w:rsidR="0000406E" w:rsidRPr="001F73A7">
        <w:t>funding source, the percentage of salary paid by the 21</w:t>
      </w:r>
      <w:r w:rsidR="0000406E" w:rsidRPr="001F73A7">
        <w:rPr>
          <w:vertAlign w:val="superscript"/>
        </w:rPr>
        <w:t>st</w:t>
      </w:r>
      <w:r w:rsidR="0000406E" w:rsidRPr="001F73A7">
        <w:t xml:space="preserve"> CCLC grant must be the same as the percentage of fringe benefits</w:t>
      </w:r>
      <w:r w:rsidR="001A36E8" w:rsidRPr="001F73A7">
        <w:t xml:space="preserve"> paid by the grant</w:t>
      </w:r>
      <w:r w:rsidR="0000406E" w:rsidRPr="001F73A7">
        <w:t>.</w:t>
      </w:r>
    </w:p>
    <w:p w14:paraId="01B928F6" w14:textId="77777777" w:rsidR="00635F60" w:rsidRPr="001F73A7" w:rsidRDefault="00635F60" w:rsidP="001F73A7">
      <w:pPr>
        <w:spacing w:after="0"/>
      </w:pPr>
    </w:p>
    <w:p w14:paraId="4D460132" w14:textId="14E1BBD2" w:rsidR="008C7357" w:rsidRPr="001F73A7" w:rsidRDefault="008C7357" w:rsidP="001F73A7">
      <w:pPr>
        <w:spacing w:after="0"/>
      </w:pPr>
      <w:proofErr w:type="spellStart"/>
      <w:r w:rsidRPr="001F73A7">
        <w:rPr>
          <w:b/>
          <w:bCs/>
        </w:rPr>
        <w:t>Stipended</w:t>
      </w:r>
      <w:proofErr w:type="spellEnd"/>
      <w:r w:rsidRPr="001F73A7">
        <w:rPr>
          <w:b/>
          <w:bCs/>
        </w:rPr>
        <w:t xml:space="preserve"> positions:</w:t>
      </w:r>
      <w:r w:rsidRPr="001F73A7">
        <w:t xml:space="preserve"> If you are providing a stipend to someone for their services </w:t>
      </w:r>
      <w:r w:rsidR="009732F2" w:rsidRPr="001F73A7">
        <w:t xml:space="preserve">– including students – </w:t>
      </w:r>
      <w:r w:rsidRPr="001F73A7">
        <w:t>and are paying them through payroll, then they should be included in 51000/52000 Employee Compensation and Benefits. If you are cutting them a check separately and treating them as a vendor or consultant, then they should be included in 53000 Professional &amp; Technical Services.</w:t>
      </w:r>
    </w:p>
    <w:p w14:paraId="3FD78244" w14:textId="77777777" w:rsidR="008C7357" w:rsidRPr="001F73A7" w:rsidRDefault="008C7357" w:rsidP="001F73A7">
      <w:pPr>
        <w:spacing w:after="0"/>
      </w:pPr>
    </w:p>
    <w:p w14:paraId="76CFFB35" w14:textId="07558E17" w:rsidR="003B17DF" w:rsidRPr="001F73A7" w:rsidRDefault="003B17DF" w:rsidP="001F73A7">
      <w:pPr>
        <w:spacing w:after="0"/>
      </w:pPr>
      <w:r w:rsidRPr="001F73A7">
        <w:rPr>
          <w:b/>
          <w:bCs/>
        </w:rPr>
        <w:lastRenderedPageBreak/>
        <w:t>Supplement Not Supplant:</w:t>
      </w:r>
      <w:r w:rsidRPr="001F73A7">
        <w:t xml:space="preserve"> Please note that when there is a position in the budget that w</w:t>
      </w:r>
      <w:r w:rsidR="00FB4B90" w:rsidRPr="001F73A7">
        <w:t>as</w:t>
      </w:r>
      <w:r w:rsidRPr="001F73A7">
        <w:t xml:space="preserve"> not in the previous year’s budget, it raise</w:t>
      </w:r>
      <w:r w:rsidR="009732F2" w:rsidRPr="001F73A7">
        <w:t>s</w:t>
      </w:r>
      <w:r w:rsidRPr="001F73A7">
        <w:t xml:space="preserve"> questions of supplanting</w:t>
      </w:r>
      <w:r w:rsidR="00FB4B90" w:rsidRPr="001F73A7">
        <w:t xml:space="preserve"> (see </w:t>
      </w:r>
      <w:r w:rsidR="00705BEF" w:rsidRPr="001F73A7">
        <w:t>“</w:t>
      </w:r>
      <w:r w:rsidR="00FB4B90" w:rsidRPr="001F73A7">
        <w:t>Supplement Not Supplant</w:t>
      </w:r>
      <w:r w:rsidR="00705BEF" w:rsidRPr="001F73A7">
        <w:t>”</w:t>
      </w:r>
      <w:r w:rsidR="00FB4B90" w:rsidRPr="001F73A7">
        <w:t xml:space="preserve"> in </w:t>
      </w:r>
      <w:r w:rsidR="001603D6" w:rsidRPr="001F73A7">
        <w:t>Section I</w:t>
      </w:r>
      <w:r w:rsidR="00FB4B90" w:rsidRPr="001F73A7">
        <w:t>)</w:t>
      </w:r>
      <w:r w:rsidRPr="001F73A7">
        <w:t>.</w:t>
      </w:r>
    </w:p>
    <w:p w14:paraId="70853C68" w14:textId="4CDB1504" w:rsidR="003B17DF" w:rsidRPr="001F73A7" w:rsidRDefault="003B17DF" w:rsidP="001F73A7">
      <w:pPr>
        <w:pStyle w:val="ListParagraph"/>
        <w:numPr>
          <w:ilvl w:val="0"/>
          <w:numId w:val="25"/>
        </w:numPr>
        <w:spacing w:after="0" w:line="256" w:lineRule="auto"/>
        <w:ind w:left="720"/>
      </w:pPr>
      <w:r w:rsidRPr="001F73A7">
        <w:t xml:space="preserve">If it is a new position, then it </w:t>
      </w:r>
      <w:r w:rsidR="009732F2" w:rsidRPr="001F73A7">
        <w:t xml:space="preserve">would be </w:t>
      </w:r>
      <w:r w:rsidRPr="001F73A7">
        <w:rPr>
          <w:i/>
          <w:u w:val="single"/>
        </w:rPr>
        <w:t>allowable</w:t>
      </w:r>
      <w:r w:rsidRPr="001F73A7">
        <w:t xml:space="preserve">. </w:t>
      </w:r>
    </w:p>
    <w:p w14:paraId="425690A5" w14:textId="38437EB5" w:rsidR="008C7357" w:rsidRPr="001F73A7" w:rsidRDefault="008C7357" w:rsidP="001F73A7">
      <w:pPr>
        <w:pStyle w:val="ListParagraph"/>
        <w:numPr>
          <w:ilvl w:val="0"/>
          <w:numId w:val="25"/>
        </w:numPr>
        <w:spacing w:after="0" w:line="256" w:lineRule="auto"/>
        <w:ind w:left="720"/>
      </w:pPr>
      <w:bookmarkStart w:id="1" w:name="_Hlk139534996"/>
      <w:r w:rsidRPr="001F73A7">
        <w:t>If it is not a new position, but the 21</w:t>
      </w:r>
      <w:r w:rsidRPr="001F73A7">
        <w:rPr>
          <w:vertAlign w:val="superscript"/>
        </w:rPr>
        <w:t>st</w:t>
      </w:r>
      <w:r w:rsidRPr="001F73A7">
        <w:t xml:space="preserve"> CCLC grant responsibilities are new to the position, then it </w:t>
      </w:r>
      <w:r w:rsidR="009732F2" w:rsidRPr="001F73A7">
        <w:t xml:space="preserve">would be </w:t>
      </w:r>
      <w:r w:rsidRPr="001F73A7">
        <w:rPr>
          <w:i/>
          <w:iCs/>
          <w:u w:val="single"/>
        </w:rPr>
        <w:t>allowable</w:t>
      </w:r>
      <w:r w:rsidRPr="001F73A7">
        <w:rPr>
          <w:i/>
          <w:iCs/>
        </w:rPr>
        <w:t>.</w:t>
      </w:r>
    </w:p>
    <w:bookmarkEnd w:id="1"/>
    <w:p w14:paraId="10B83F38" w14:textId="77777777" w:rsidR="00342892" w:rsidRPr="001F73A7" w:rsidRDefault="00342892" w:rsidP="001F73A7">
      <w:pPr>
        <w:pStyle w:val="ListParagraph"/>
        <w:numPr>
          <w:ilvl w:val="0"/>
          <w:numId w:val="25"/>
        </w:numPr>
        <w:spacing w:after="0" w:line="256" w:lineRule="auto"/>
        <w:ind w:left="720"/>
      </w:pPr>
      <w:r w:rsidRPr="001F73A7">
        <w:t xml:space="preserve">If it is not a new position and you used a different funding source to pay for a position last year, it </w:t>
      </w:r>
      <w:r w:rsidRPr="001F73A7">
        <w:rPr>
          <w:i/>
          <w:u w:val="single"/>
        </w:rPr>
        <w:t>may be allowable</w:t>
      </w:r>
      <w:r w:rsidRPr="001F73A7">
        <w:t>, if there are extenuating circumstances, such as:</w:t>
      </w:r>
    </w:p>
    <w:p w14:paraId="075DF700" w14:textId="77777777" w:rsidR="00342892" w:rsidRPr="001F73A7" w:rsidRDefault="00342892" w:rsidP="001F73A7">
      <w:pPr>
        <w:pStyle w:val="ListParagraph"/>
        <w:numPr>
          <w:ilvl w:val="0"/>
          <w:numId w:val="26"/>
        </w:numPr>
        <w:spacing w:after="0" w:line="256" w:lineRule="auto"/>
        <w:ind w:left="1080"/>
      </w:pPr>
      <w:r w:rsidRPr="001F73A7">
        <w:t>The other funding source is no longer available.</w:t>
      </w:r>
    </w:p>
    <w:p w14:paraId="3AD9828F" w14:textId="77777777" w:rsidR="00342892" w:rsidRPr="001F73A7" w:rsidRDefault="00342892" w:rsidP="001F73A7">
      <w:pPr>
        <w:pStyle w:val="ListParagraph"/>
        <w:numPr>
          <w:ilvl w:val="0"/>
          <w:numId w:val="26"/>
        </w:numPr>
        <w:spacing w:after="0" w:line="256" w:lineRule="auto"/>
        <w:ind w:left="1080"/>
      </w:pPr>
      <w:r w:rsidRPr="001F73A7">
        <w:t>The position would be eliminated if the 21</w:t>
      </w:r>
      <w:r w:rsidRPr="001F73A7">
        <w:rPr>
          <w:vertAlign w:val="superscript"/>
        </w:rPr>
        <w:t>st</w:t>
      </w:r>
      <w:r w:rsidRPr="001F73A7">
        <w:t xml:space="preserve"> CCLC grant did not exist.</w:t>
      </w:r>
    </w:p>
    <w:p w14:paraId="45726D55" w14:textId="77777777" w:rsidR="00342892" w:rsidRPr="001F73A7" w:rsidRDefault="00342892" w:rsidP="001F73A7">
      <w:pPr>
        <w:pStyle w:val="ListParagraph"/>
        <w:numPr>
          <w:ilvl w:val="0"/>
          <w:numId w:val="26"/>
        </w:numPr>
        <w:spacing w:after="0" w:line="256" w:lineRule="auto"/>
        <w:ind w:left="1080"/>
      </w:pPr>
      <w:r w:rsidRPr="001F73A7">
        <w:t>The nature of the position has changed. It is now focused on the grant when it did not used to be.</w:t>
      </w:r>
    </w:p>
    <w:p w14:paraId="426B56D2" w14:textId="12B8FBEF" w:rsidR="003B17DF" w:rsidRPr="001F73A7" w:rsidRDefault="00342892" w:rsidP="001F73A7">
      <w:pPr>
        <w:pStyle w:val="ListParagraph"/>
        <w:numPr>
          <w:ilvl w:val="0"/>
          <w:numId w:val="25"/>
        </w:numPr>
        <w:spacing w:after="0" w:line="256" w:lineRule="auto"/>
        <w:ind w:left="720"/>
      </w:pPr>
      <w:r w:rsidRPr="001F73A7">
        <w:t>However, i</w:t>
      </w:r>
      <w:r w:rsidR="003B17DF" w:rsidRPr="001F73A7">
        <w:t xml:space="preserve">f it is not a new position and you used a different funding source to pay for a position last year, and nothing else changed, then it is </w:t>
      </w:r>
      <w:r w:rsidR="003B17DF" w:rsidRPr="001F73A7">
        <w:rPr>
          <w:i/>
          <w:u w:val="single"/>
        </w:rPr>
        <w:t>not allowable</w:t>
      </w:r>
      <w:r w:rsidR="003B17DF" w:rsidRPr="001F73A7">
        <w:t xml:space="preserve"> to switch it to being paid out of 21</w:t>
      </w:r>
      <w:r w:rsidR="003B17DF" w:rsidRPr="001F73A7">
        <w:rPr>
          <w:vertAlign w:val="superscript"/>
        </w:rPr>
        <w:t>st</w:t>
      </w:r>
      <w:r w:rsidR="003B17DF" w:rsidRPr="001F73A7">
        <w:t xml:space="preserve"> CCLC funds. That would be considered supplanting.</w:t>
      </w:r>
    </w:p>
    <w:p w14:paraId="3312BA63" w14:textId="495ADDCD" w:rsidR="003B17DF" w:rsidRPr="001F73A7" w:rsidRDefault="003B17DF" w:rsidP="001F73A7">
      <w:pPr>
        <w:spacing w:after="0"/>
      </w:pPr>
      <w:r w:rsidRPr="001F73A7">
        <w:t>Please include information in the budget narrative that clarifies that the position is allowable.</w:t>
      </w:r>
    </w:p>
    <w:p w14:paraId="6220EC21" w14:textId="77777777" w:rsidR="009732F2" w:rsidRPr="001F73A7" w:rsidRDefault="009732F2" w:rsidP="001F73A7">
      <w:pPr>
        <w:spacing w:after="0"/>
      </w:pPr>
    </w:p>
    <w:p w14:paraId="01B928F9" w14:textId="6865CE83" w:rsidR="00D16CAC" w:rsidRPr="001F73A7" w:rsidRDefault="00FA39D6" w:rsidP="001F73A7">
      <w:pPr>
        <w:pStyle w:val="Heading2"/>
      </w:pPr>
      <w:r w:rsidRPr="001F73A7">
        <w:t>C</w:t>
      </w:r>
      <w:r w:rsidR="00C57B29" w:rsidRPr="001F73A7">
        <w:t>ategor</w:t>
      </w:r>
      <w:r w:rsidRPr="001F73A7">
        <w:t>ies</w:t>
      </w:r>
      <w:r w:rsidR="00C57B29" w:rsidRPr="001F73A7">
        <w:t xml:space="preserve"> 53000</w:t>
      </w:r>
      <w:r w:rsidRPr="001F73A7">
        <w:t>/54000/55000</w:t>
      </w:r>
      <w:r w:rsidR="00C57B29" w:rsidRPr="001F73A7">
        <w:t xml:space="preserve"> Purchased Services</w:t>
      </w:r>
      <w:r w:rsidR="00A63785" w:rsidRPr="001F73A7">
        <w:t xml:space="preserve"> </w:t>
      </w:r>
    </w:p>
    <w:p w14:paraId="01B928FA" w14:textId="633D85C9" w:rsidR="00D16CAC" w:rsidRPr="001F73A7" w:rsidRDefault="00A63785" w:rsidP="001F73A7">
      <w:pPr>
        <w:pStyle w:val="ListParagraph"/>
        <w:numPr>
          <w:ilvl w:val="0"/>
          <w:numId w:val="11"/>
        </w:numPr>
        <w:spacing w:after="0"/>
      </w:pPr>
      <w:r w:rsidRPr="001F73A7">
        <w:rPr>
          <w:b/>
        </w:rPr>
        <w:t>53000 Professional &amp; Technical Services</w:t>
      </w:r>
      <w:r w:rsidRPr="001F73A7">
        <w:t xml:space="preserve"> </w:t>
      </w:r>
      <w:r w:rsidR="00D45E72" w:rsidRPr="001F73A7">
        <w:t>is for</w:t>
      </w:r>
      <w:r w:rsidRPr="001F73A7">
        <w:t xml:space="preserve"> temporary contracted services, evaluations &amp; testing, legal, audit, food</w:t>
      </w:r>
      <w:r w:rsidR="00256DD0" w:rsidRPr="001F73A7">
        <w:t xml:space="preserve"> for travel to conferences</w:t>
      </w:r>
      <w:r w:rsidRPr="001F73A7">
        <w:t>, training</w:t>
      </w:r>
      <w:r w:rsidR="00FF6812" w:rsidRPr="001F73A7">
        <w:t xml:space="preserve"> </w:t>
      </w:r>
      <w:r w:rsidR="003970D2" w:rsidRPr="001F73A7">
        <w:t>&amp;</w:t>
      </w:r>
      <w:r w:rsidR="00FF6812" w:rsidRPr="001F73A7">
        <w:t xml:space="preserve"> </w:t>
      </w:r>
      <w:r w:rsidR="008B5DAA" w:rsidRPr="001F73A7">
        <w:t>professional development</w:t>
      </w:r>
      <w:r w:rsidR="00FF6812" w:rsidRPr="001F73A7">
        <w:t xml:space="preserve"> services</w:t>
      </w:r>
      <w:r w:rsidR="00342892" w:rsidRPr="001F73A7">
        <w:t>.</w:t>
      </w:r>
    </w:p>
    <w:p w14:paraId="01B928FB" w14:textId="6C23CE13" w:rsidR="00D16CAC" w:rsidRPr="001F73A7" w:rsidRDefault="00A63785" w:rsidP="001F73A7">
      <w:pPr>
        <w:pStyle w:val="ListParagraph"/>
        <w:numPr>
          <w:ilvl w:val="0"/>
          <w:numId w:val="11"/>
        </w:numPr>
        <w:spacing w:after="0"/>
      </w:pPr>
      <w:r w:rsidRPr="001F73A7">
        <w:rPr>
          <w:b/>
        </w:rPr>
        <w:t>54000 Property Services</w:t>
      </w:r>
      <w:r w:rsidRPr="001F73A7">
        <w:t xml:space="preserve"> </w:t>
      </w:r>
      <w:r w:rsidR="00D45E72" w:rsidRPr="001F73A7">
        <w:t>is for</w:t>
      </w:r>
      <w:r w:rsidRPr="001F73A7">
        <w:t xml:space="preserve"> cleaning, repairs and maintenance, utilities, rentals, telephone, internet &amp; wireless</w:t>
      </w:r>
      <w:r w:rsidR="00342892" w:rsidRPr="001F73A7">
        <w:t>.</w:t>
      </w:r>
      <w:r w:rsidRPr="001F73A7">
        <w:t xml:space="preserve"> </w:t>
      </w:r>
    </w:p>
    <w:p w14:paraId="01B928FC" w14:textId="77F4F997" w:rsidR="00FA39D6" w:rsidRPr="001F73A7" w:rsidRDefault="00A63785" w:rsidP="001F73A7">
      <w:pPr>
        <w:pStyle w:val="ListParagraph"/>
        <w:numPr>
          <w:ilvl w:val="0"/>
          <w:numId w:val="11"/>
        </w:numPr>
        <w:spacing w:after="0"/>
      </w:pPr>
      <w:r w:rsidRPr="001F73A7">
        <w:rPr>
          <w:b/>
        </w:rPr>
        <w:t>55000 Other Services</w:t>
      </w:r>
      <w:r w:rsidRPr="001F73A7">
        <w:t xml:space="preserve"> </w:t>
      </w:r>
      <w:r w:rsidR="00D45E72" w:rsidRPr="001F73A7">
        <w:t>is for services such as</w:t>
      </w:r>
      <w:r w:rsidRPr="001F73A7">
        <w:t xml:space="preserve"> transportation, insurance, advertising, printing, tuition, </w:t>
      </w:r>
      <w:r w:rsidR="009D1D3A" w:rsidRPr="001F73A7">
        <w:t>t</w:t>
      </w:r>
      <w:r w:rsidR="00FF6812" w:rsidRPr="001F73A7">
        <w:t>ravel &amp;</w:t>
      </w:r>
      <w:r w:rsidR="009D1D3A" w:rsidRPr="001F73A7">
        <w:t xml:space="preserve"> h</w:t>
      </w:r>
      <w:r w:rsidR="00FF6812" w:rsidRPr="001F73A7">
        <w:t>otel expenses related to attendance at trainings</w:t>
      </w:r>
      <w:r w:rsidR="009D1D3A" w:rsidRPr="001F73A7">
        <w:t>.</w:t>
      </w:r>
    </w:p>
    <w:p w14:paraId="01B928FD" w14:textId="77777777" w:rsidR="00FF6870" w:rsidRPr="001F73A7" w:rsidRDefault="00FF6870" w:rsidP="001F73A7">
      <w:pPr>
        <w:spacing w:after="0"/>
      </w:pPr>
    </w:p>
    <w:p w14:paraId="01B928FE" w14:textId="558C1A47" w:rsidR="00E31E3A" w:rsidRPr="001F73A7" w:rsidRDefault="00FA39D6" w:rsidP="001F73A7">
      <w:pPr>
        <w:spacing w:after="0"/>
      </w:pPr>
      <w:r w:rsidRPr="001F73A7">
        <w:t>F</w:t>
      </w:r>
      <w:r w:rsidR="006E396A" w:rsidRPr="001F73A7">
        <w:t xml:space="preserve">or </w:t>
      </w:r>
      <w:r w:rsidR="00C57B29" w:rsidRPr="001F73A7">
        <w:t xml:space="preserve">budget </w:t>
      </w:r>
      <w:r w:rsidR="003E336B" w:rsidRPr="001F73A7">
        <w:t>requests</w:t>
      </w:r>
      <w:r w:rsidR="006E396A" w:rsidRPr="001F73A7">
        <w:t xml:space="preserve"> </w:t>
      </w:r>
      <w:r w:rsidR="00BA3999" w:rsidRPr="001F73A7">
        <w:t>that contain multiple items under a single heading</w:t>
      </w:r>
      <w:r w:rsidR="00FA5532" w:rsidRPr="001F73A7">
        <w:t>,</w:t>
      </w:r>
      <w:r w:rsidR="00BA3999" w:rsidRPr="001F73A7">
        <w:t xml:space="preserve"> </w:t>
      </w:r>
      <w:r w:rsidR="006E396A" w:rsidRPr="001F73A7">
        <w:t xml:space="preserve">such as </w:t>
      </w:r>
      <w:r w:rsidR="00611DD2" w:rsidRPr="001F73A7">
        <w:t>After-School Programming</w:t>
      </w:r>
      <w:r w:rsidR="00C57B29" w:rsidRPr="001F73A7">
        <w:t xml:space="preserve"> Providers</w:t>
      </w:r>
      <w:r w:rsidR="00BA3999" w:rsidRPr="001F73A7">
        <w:t>,</w:t>
      </w:r>
      <w:r w:rsidR="006E396A" w:rsidRPr="001F73A7">
        <w:t xml:space="preserve"> </w:t>
      </w:r>
      <w:r w:rsidR="008B7923" w:rsidRPr="001F73A7">
        <w:t xml:space="preserve">please </w:t>
      </w:r>
      <w:r w:rsidR="00BA3999" w:rsidRPr="001F73A7">
        <w:t>include</w:t>
      </w:r>
      <w:r w:rsidR="006E396A" w:rsidRPr="001F73A7">
        <w:t xml:space="preserve"> the following</w:t>
      </w:r>
      <w:r w:rsidR="00151761" w:rsidRPr="001F73A7">
        <w:t xml:space="preserve"> in </w:t>
      </w:r>
      <w:r w:rsidR="008B7923" w:rsidRPr="001F73A7">
        <w:t xml:space="preserve">the </w:t>
      </w:r>
      <w:r w:rsidR="00151761" w:rsidRPr="001F73A7">
        <w:t>description</w:t>
      </w:r>
      <w:r w:rsidR="008B7923" w:rsidRPr="001F73A7">
        <w:t xml:space="preserve"> or </w:t>
      </w:r>
      <w:r w:rsidR="00151761" w:rsidRPr="001F73A7">
        <w:t>justification</w:t>
      </w:r>
      <w:r w:rsidR="008B7923" w:rsidRPr="001F73A7">
        <w:t xml:space="preserve"> columns of the budget and/or in the </w:t>
      </w:r>
      <w:r w:rsidR="00610BFE" w:rsidRPr="001F73A7">
        <w:t>b</w:t>
      </w:r>
      <w:r w:rsidR="008B7923" w:rsidRPr="001F73A7">
        <w:t xml:space="preserve">udget </w:t>
      </w:r>
      <w:r w:rsidR="00610BFE" w:rsidRPr="001F73A7">
        <w:t>n</w:t>
      </w:r>
      <w:r w:rsidR="008B7923" w:rsidRPr="001F73A7">
        <w:t>arrative</w:t>
      </w:r>
      <w:r w:rsidR="006E396A" w:rsidRPr="001F73A7">
        <w:t>:</w:t>
      </w:r>
    </w:p>
    <w:p w14:paraId="01B928FF" w14:textId="34A59E2C" w:rsidR="006E396A" w:rsidRPr="001F73A7" w:rsidRDefault="006E396A" w:rsidP="001F73A7">
      <w:pPr>
        <w:pStyle w:val="ListParagraph"/>
        <w:numPr>
          <w:ilvl w:val="0"/>
          <w:numId w:val="1"/>
        </w:numPr>
        <w:spacing w:after="0"/>
      </w:pPr>
      <w:r w:rsidRPr="001F73A7">
        <w:t xml:space="preserve">If </w:t>
      </w:r>
      <w:r w:rsidR="00151761" w:rsidRPr="001F73A7">
        <w:t>you know who your providers will be, your description should include the a</w:t>
      </w:r>
      <w:r w:rsidRPr="001F73A7">
        <w:t>nticipated amount per provider</w:t>
      </w:r>
      <w:r w:rsidR="003E336B" w:rsidRPr="001F73A7">
        <w:t>, how the amount is determined (e.g.</w:t>
      </w:r>
      <w:r w:rsidR="00342892" w:rsidRPr="001F73A7">
        <w:t>,</w:t>
      </w:r>
      <w:r w:rsidR="003E336B" w:rsidRPr="001F73A7">
        <w:t xml:space="preserve"> flat rate or hourly rate),</w:t>
      </w:r>
      <w:r w:rsidR="00151761" w:rsidRPr="001F73A7">
        <w:t xml:space="preserve"> </w:t>
      </w:r>
      <w:r w:rsidRPr="001F73A7">
        <w:t xml:space="preserve">and </w:t>
      </w:r>
      <w:r w:rsidR="00151761" w:rsidRPr="001F73A7">
        <w:t xml:space="preserve">the </w:t>
      </w:r>
      <w:r w:rsidRPr="001F73A7">
        <w:t>number of students to be served</w:t>
      </w:r>
      <w:r w:rsidR="006574BC" w:rsidRPr="001F73A7">
        <w:t xml:space="preserve"> by each provider</w:t>
      </w:r>
      <w:r w:rsidR="00151761" w:rsidRPr="001F73A7">
        <w:t>.</w:t>
      </w:r>
    </w:p>
    <w:p w14:paraId="01B92900" w14:textId="77777777" w:rsidR="006E396A" w:rsidRPr="001F73A7" w:rsidRDefault="00151761" w:rsidP="001F73A7">
      <w:pPr>
        <w:pStyle w:val="ListParagraph"/>
        <w:numPr>
          <w:ilvl w:val="0"/>
          <w:numId w:val="1"/>
        </w:numPr>
        <w:spacing w:after="0"/>
      </w:pPr>
      <w:r w:rsidRPr="001F73A7">
        <w:t>If you do not yet know who your providers will be, your</w:t>
      </w:r>
      <w:r w:rsidR="006E396A" w:rsidRPr="001F73A7">
        <w:t xml:space="preserve"> description </w:t>
      </w:r>
      <w:r w:rsidRPr="001F73A7">
        <w:t>should include</w:t>
      </w:r>
      <w:r w:rsidR="006E396A" w:rsidRPr="001F73A7">
        <w:t xml:space="preserve"> the process by which you choose providers</w:t>
      </w:r>
      <w:r w:rsidR="006574BC" w:rsidRPr="001F73A7">
        <w:t>,</w:t>
      </w:r>
      <w:r w:rsidR="006E396A" w:rsidRPr="001F73A7">
        <w:t xml:space="preserve"> the typic</w:t>
      </w:r>
      <w:r w:rsidR="003E336B" w:rsidRPr="001F73A7">
        <w:t>al range of contracted amounts</w:t>
      </w:r>
      <w:r w:rsidR="006574BC" w:rsidRPr="001F73A7">
        <w:t xml:space="preserve">, the typical </w:t>
      </w:r>
      <w:r w:rsidR="003E336B" w:rsidRPr="001F73A7">
        <w:t>number of providers chosen</w:t>
      </w:r>
      <w:r w:rsidR="006574BC" w:rsidRPr="001F73A7">
        <w:t>,</w:t>
      </w:r>
      <w:r w:rsidR="003E336B" w:rsidRPr="001F73A7">
        <w:t xml:space="preserve"> and finally the anticipated</w:t>
      </w:r>
      <w:r w:rsidR="006E396A" w:rsidRPr="001F73A7">
        <w:t xml:space="preserve"> numbers of students to be served</w:t>
      </w:r>
      <w:r w:rsidR="006574BC" w:rsidRPr="001F73A7">
        <w:t xml:space="preserve"> by each provider</w:t>
      </w:r>
      <w:r w:rsidR="00C57B29" w:rsidRPr="001F73A7">
        <w:t>.</w:t>
      </w:r>
    </w:p>
    <w:p w14:paraId="01B92901" w14:textId="77777777" w:rsidR="00FF6870" w:rsidRPr="001F73A7" w:rsidRDefault="00FF6870" w:rsidP="001F73A7">
      <w:pPr>
        <w:spacing w:after="0"/>
      </w:pPr>
    </w:p>
    <w:p w14:paraId="5C6FBEE9" w14:textId="77777777" w:rsidR="00D45E72" w:rsidRPr="001F73A7" w:rsidRDefault="00FA39D6" w:rsidP="001F73A7">
      <w:pPr>
        <w:pStyle w:val="Heading2"/>
      </w:pPr>
      <w:r w:rsidRPr="001F73A7">
        <w:t>C</w:t>
      </w:r>
      <w:r w:rsidR="001140AF" w:rsidRPr="001F73A7">
        <w:t>ategory 56000 Supplies &amp; Materials</w:t>
      </w:r>
      <w:r w:rsidR="00A63785" w:rsidRPr="001F73A7">
        <w:t xml:space="preserve"> </w:t>
      </w:r>
    </w:p>
    <w:p w14:paraId="01B92903" w14:textId="3A4FDF01" w:rsidR="001140AF" w:rsidRPr="001F73A7" w:rsidRDefault="00D45E72" w:rsidP="001F73A7">
      <w:pPr>
        <w:spacing w:after="0"/>
      </w:pPr>
      <w:r w:rsidRPr="001F73A7">
        <w:t xml:space="preserve">This category is for </w:t>
      </w:r>
      <w:r w:rsidR="004D2961" w:rsidRPr="001F73A7">
        <w:t xml:space="preserve">consumables and </w:t>
      </w:r>
      <w:r w:rsidR="00A63785" w:rsidRPr="001F73A7">
        <w:t>general supplies</w:t>
      </w:r>
      <w:r w:rsidR="004D2961" w:rsidRPr="001F73A7">
        <w:t>,</w:t>
      </w:r>
      <w:r w:rsidR="008B5DAA" w:rsidRPr="001F73A7">
        <w:t xml:space="preserve"> including program supplies or office supplies</w:t>
      </w:r>
      <w:r w:rsidR="00A63785" w:rsidRPr="001F73A7">
        <w:t xml:space="preserve">, books, </w:t>
      </w:r>
      <w:r w:rsidR="001A2F82" w:rsidRPr="001F73A7">
        <w:t xml:space="preserve">purchased curricula, </w:t>
      </w:r>
      <w:r w:rsidR="004D2961" w:rsidRPr="001F73A7">
        <w:t xml:space="preserve">and </w:t>
      </w:r>
      <w:r w:rsidR="00A63785" w:rsidRPr="001F73A7">
        <w:t>maintenance supplies</w:t>
      </w:r>
      <w:r w:rsidRPr="001F73A7">
        <w:t>.</w:t>
      </w:r>
      <w:r w:rsidR="00864742" w:rsidRPr="001F73A7">
        <w:t xml:space="preserve"> </w:t>
      </w:r>
      <w:r w:rsidR="00FA39D6" w:rsidRPr="001F73A7">
        <w:t>F</w:t>
      </w:r>
      <w:r w:rsidR="001140AF" w:rsidRPr="001F73A7">
        <w:t xml:space="preserve">or budget items that contain multiple items </w:t>
      </w:r>
      <w:r w:rsidR="00FB4B90" w:rsidRPr="001F73A7">
        <w:t>under a single heading such as p</w:t>
      </w:r>
      <w:r w:rsidR="001140AF" w:rsidRPr="001F73A7">
        <w:t xml:space="preserve">rogram </w:t>
      </w:r>
      <w:r w:rsidR="00FB4B90" w:rsidRPr="001F73A7">
        <w:t>s</w:t>
      </w:r>
      <w:r w:rsidR="001140AF" w:rsidRPr="001F73A7">
        <w:t xml:space="preserve">upplies or </w:t>
      </w:r>
      <w:r w:rsidR="00FB4B90" w:rsidRPr="001F73A7">
        <w:t>o</w:t>
      </w:r>
      <w:r w:rsidR="001140AF" w:rsidRPr="001F73A7">
        <w:t xml:space="preserve">ffice </w:t>
      </w:r>
      <w:r w:rsidR="00FB4B90" w:rsidRPr="001F73A7">
        <w:t>s</w:t>
      </w:r>
      <w:r w:rsidR="001140AF" w:rsidRPr="001F73A7">
        <w:t>upplies, grantees should include the following in their written description/justification:</w:t>
      </w:r>
    </w:p>
    <w:p w14:paraId="01B92904" w14:textId="50305CA7" w:rsidR="006E396A" w:rsidRPr="001F73A7" w:rsidRDefault="006E396A" w:rsidP="001F73A7">
      <w:pPr>
        <w:pStyle w:val="ListParagraph"/>
        <w:numPr>
          <w:ilvl w:val="0"/>
          <w:numId w:val="2"/>
        </w:numPr>
        <w:spacing w:after="0"/>
      </w:pPr>
      <w:r w:rsidRPr="001F73A7">
        <w:t xml:space="preserve">If </w:t>
      </w:r>
      <w:r w:rsidR="00232176" w:rsidRPr="001F73A7">
        <w:t xml:space="preserve">you mostly know what </w:t>
      </w:r>
      <w:r w:rsidR="00225B04" w:rsidRPr="001F73A7">
        <w:t xml:space="preserve">items </w:t>
      </w:r>
      <w:r w:rsidR="00232176" w:rsidRPr="001F73A7">
        <w:t>you will be buying, your description should include the</w:t>
      </w:r>
      <w:r w:rsidRPr="001F73A7">
        <w:t xml:space="preserve"> actual amounts to be spent</w:t>
      </w:r>
      <w:r w:rsidR="00FF6870" w:rsidRPr="001F73A7">
        <w:t xml:space="preserve">. </w:t>
      </w:r>
      <w:r w:rsidR="00232176" w:rsidRPr="001F73A7">
        <w:t xml:space="preserve">You can group together generic items such as </w:t>
      </w:r>
      <w:r w:rsidRPr="001F73A7">
        <w:t xml:space="preserve">paper, pens, </w:t>
      </w:r>
      <w:r w:rsidR="00342892" w:rsidRPr="001F73A7">
        <w:t>post-it</w:t>
      </w:r>
      <w:r w:rsidR="00F56CAA" w:rsidRPr="001F73A7">
        <w:t xml:space="preserve"> notes, </w:t>
      </w:r>
      <w:r w:rsidR="00232176" w:rsidRPr="001F73A7">
        <w:t>etc.</w:t>
      </w:r>
      <w:r w:rsidR="00F56CAA" w:rsidRPr="001F73A7">
        <w:t xml:space="preserve"> </w:t>
      </w:r>
      <w:proofErr w:type="gramStart"/>
      <w:r w:rsidR="00F56CAA" w:rsidRPr="001F73A7">
        <w:t>as long as</w:t>
      </w:r>
      <w:proofErr w:type="gramEnd"/>
      <w:r w:rsidR="00F56CAA" w:rsidRPr="001F73A7">
        <w:t xml:space="preserve"> the total amount is under $1,000.</w:t>
      </w:r>
    </w:p>
    <w:p w14:paraId="01B92905" w14:textId="6A5F5B31" w:rsidR="006E396A" w:rsidRPr="001F73A7" w:rsidRDefault="00225B04" w:rsidP="001F73A7">
      <w:pPr>
        <w:pStyle w:val="ListParagraph"/>
        <w:numPr>
          <w:ilvl w:val="0"/>
          <w:numId w:val="2"/>
        </w:numPr>
        <w:spacing w:after="0"/>
      </w:pPr>
      <w:r w:rsidRPr="001F73A7">
        <w:t>If you mostly do not know what specific items you will be buying,</w:t>
      </w:r>
      <w:r w:rsidR="006E396A" w:rsidRPr="001F73A7">
        <w:t xml:space="preserve"> </w:t>
      </w:r>
      <w:r w:rsidRPr="001F73A7">
        <w:t xml:space="preserve">your description should include </w:t>
      </w:r>
      <w:r w:rsidR="006E396A" w:rsidRPr="001F73A7">
        <w:t>whatever planning values you use</w:t>
      </w:r>
      <w:r w:rsidRPr="001F73A7">
        <w:t xml:space="preserve"> (</w:t>
      </w:r>
      <w:r w:rsidR="006E396A" w:rsidRPr="001F73A7">
        <w:t>e.g.</w:t>
      </w:r>
      <w:r w:rsidR="00342892" w:rsidRPr="001F73A7">
        <w:t>,</w:t>
      </w:r>
      <w:r w:rsidR="006E396A" w:rsidRPr="001F73A7">
        <w:t xml:space="preserve"> cost per student, a</w:t>
      </w:r>
      <w:r w:rsidRPr="001F73A7">
        <w:t>verage expenditures in the past)</w:t>
      </w:r>
      <w:r w:rsidR="006E396A" w:rsidRPr="001F73A7">
        <w:t xml:space="preserve"> along with examples </w:t>
      </w:r>
      <w:r w:rsidRPr="001F73A7">
        <w:t>of some of the higher dollar amount items that are typically purchased in the category</w:t>
      </w:r>
      <w:r w:rsidR="00FF6870" w:rsidRPr="001F73A7">
        <w:t xml:space="preserve">. </w:t>
      </w:r>
    </w:p>
    <w:p w14:paraId="01B92906" w14:textId="77777777" w:rsidR="00FF6870" w:rsidRPr="001F73A7" w:rsidRDefault="00FF6870" w:rsidP="001F73A7">
      <w:pPr>
        <w:spacing w:after="0"/>
      </w:pPr>
    </w:p>
    <w:p w14:paraId="7DCEA74C" w14:textId="77777777" w:rsidR="00D45E72" w:rsidRPr="001F73A7" w:rsidRDefault="00FA39D6" w:rsidP="001F73A7">
      <w:pPr>
        <w:pStyle w:val="Heading2"/>
      </w:pPr>
      <w:r w:rsidRPr="001F73A7">
        <w:t>Category 57000 Property &amp; Equipment</w:t>
      </w:r>
      <w:r w:rsidR="00A63785" w:rsidRPr="001F73A7">
        <w:t xml:space="preserve"> </w:t>
      </w:r>
    </w:p>
    <w:p w14:paraId="40C034CB" w14:textId="1C52088D" w:rsidR="008B7923" w:rsidRPr="001F73A7" w:rsidRDefault="00D45E72" w:rsidP="001F73A7">
      <w:pPr>
        <w:spacing w:after="0"/>
      </w:pPr>
      <w:r w:rsidRPr="001F73A7">
        <w:t xml:space="preserve">This category is for </w:t>
      </w:r>
      <w:r w:rsidR="00A63785" w:rsidRPr="001F73A7">
        <w:t>furniture, technology – hardware &amp; software, and other equipment</w:t>
      </w:r>
      <w:r w:rsidR="00864742" w:rsidRPr="001F73A7">
        <w:t xml:space="preserve">. </w:t>
      </w:r>
      <w:r w:rsidR="006B3164" w:rsidRPr="001F73A7">
        <w:t xml:space="preserve">Although federal guidance </w:t>
      </w:r>
      <w:r w:rsidR="008B7923" w:rsidRPr="001F73A7">
        <w:t xml:space="preserve">technically </w:t>
      </w:r>
      <w:r w:rsidR="006B3164" w:rsidRPr="001F73A7">
        <w:t xml:space="preserve">defines equipment as purchases of $5000 or more, for the purposes of </w:t>
      </w:r>
      <w:r w:rsidR="004D2961" w:rsidRPr="001F73A7">
        <w:t xml:space="preserve">RIDE budget requests, please include </w:t>
      </w:r>
      <w:r w:rsidR="004D2961" w:rsidRPr="001F73A7">
        <w:lastRenderedPageBreak/>
        <w:t>smaller non-consumable items</w:t>
      </w:r>
      <w:r w:rsidR="00610BFE" w:rsidRPr="001F73A7">
        <w:t>, particularly electronics,</w:t>
      </w:r>
      <w:r w:rsidR="004D2961" w:rsidRPr="001F73A7">
        <w:t xml:space="preserve"> in this category. </w:t>
      </w:r>
      <w:r w:rsidR="00F4295C" w:rsidRPr="001F73A7">
        <w:t>Purchases</w:t>
      </w:r>
      <w:r w:rsidR="002146B6" w:rsidRPr="001F73A7">
        <w:t xml:space="preserve"> of equipment</w:t>
      </w:r>
      <w:r w:rsidR="00F4295C" w:rsidRPr="001F73A7">
        <w:t xml:space="preserve"> must be reasonable in cost and necessary to furthering the goals of the 21st CCLC. Use of the equipment must be limited to the 21st CCLC</w:t>
      </w:r>
      <w:r w:rsidR="002146B6" w:rsidRPr="001F73A7">
        <w:t xml:space="preserve"> only and cannot be shared with </w:t>
      </w:r>
      <w:r w:rsidR="00741D4A" w:rsidRPr="001F73A7">
        <w:t xml:space="preserve">students or other </w:t>
      </w:r>
      <w:r w:rsidR="002146B6" w:rsidRPr="001F73A7">
        <w:t xml:space="preserve">users during school </w:t>
      </w:r>
      <w:proofErr w:type="gramStart"/>
      <w:r w:rsidR="002146B6" w:rsidRPr="001F73A7">
        <w:t>hours</w:t>
      </w:r>
      <w:r w:rsidR="00D52382" w:rsidRPr="001F73A7">
        <w:t>, unless</w:t>
      </w:r>
      <w:proofErr w:type="gramEnd"/>
      <w:r w:rsidR="00D52382" w:rsidRPr="001F73A7">
        <w:t xml:space="preserve"> other funding sources are used (see bullet on Allocable expenses </w:t>
      </w:r>
      <w:r w:rsidR="001603D6" w:rsidRPr="001F73A7">
        <w:t xml:space="preserve">in “Guiding </w:t>
      </w:r>
      <w:proofErr w:type="spellStart"/>
      <w:r w:rsidR="001603D6" w:rsidRPr="001F73A7">
        <w:t>Principals</w:t>
      </w:r>
      <w:proofErr w:type="spellEnd"/>
      <w:r w:rsidR="001603D6" w:rsidRPr="001F73A7">
        <w:t>” in Section I</w:t>
      </w:r>
      <w:r w:rsidR="00D52382" w:rsidRPr="001F73A7">
        <w:t>)</w:t>
      </w:r>
      <w:r w:rsidR="00F4295C" w:rsidRPr="001F73A7">
        <w:t xml:space="preserve">. Please provide </w:t>
      </w:r>
      <w:r w:rsidR="004D2961" w:rsidRPr="001F73A7">
        <w:t xml:space="preserve">an </w:t>
      </w:r>
      <w:r w:rsidR="008B7923" w:rsidRPr="001F73A7">
        <w:t xml:space="preserve">affirmation in the </w:t>
      </w:r>
      <w:r w:rsidR="00610BFE" w:rsidRPr="001F73A7">
        <w:t>b</w:t>
      </w:r>
      <w:r w:rsidR="00F4295C" w:rsidRPr="001F73A7">
        <w:t xml:space="preserve">udget </w:t>
      </w:r>
      <w:r w:rsidR="00610BFE" w:rsidRPr="001F73A7">
        <w:t>n</w:t>
      </w:r>
      <w:r w:rsidR="00F4295C" w:rsidRPr="001F73A7">
        <w:t xml:space="preserve">arrative that any equipment will </w:t>
      </w:r>
      <w:r w:rsidR="008B7923" w:rsidRPr="001F73A7">
        <w:t>be:</w:t>
      </w:r>
    </w:p>
    <w:p w14:paraId="50C773AD" w14:textId="7FA71F6E" w:rsidR="008B7923" w:rsidRPr="001F73A7" w:rsidRDefault="008B7923" w:rsidP="001F73A7">
      <w:pPr>
        <w:pStyle w:val="ListParagraph"/>
        <w:numPr>
          <w:ilvl w:val="0"/>
          <w:numId w:val="16"/>
        </w:numPr>
        <w:spacing w:after="0"/>
      </w:pPr>
      <w:r w:rsidRPr="001F73A7">
        <w:t>used exclusively by the grant (or proportionately if costs are shared with another funding source)</w:t>
      </w:r>
      <w:r w:rsidR="00BE4065" w:rsidRPr="001F73A7">
        <w:t>,</w:t>
      </w:r>
      <w:r w:rsidRPr="001F73A7">
        <w:t xml:space="preserve"> </w:t>
      </w:r>
    </w:p>
    <w:p w14:paraId="7A5F6F38" w14:textId="7C78C6FD" w:rsidR="008B7923" w:rsidRPr="001F73A7" w:rsidRDefault="00F4295C" w:rsidP="001F73A7">
      <w:pPr>
        <w:pStyle w:val="ListParagraph"/>
        <w:numPr>
          <w:ilvl w:val="0"/>
          <w:numId w:val="16"/>
        </w:numPr>
        <w:spacing w:after="0"/>
      </w:pPr>
      <w:r w:rsidRPr="001F73A7">
        <w:t>tagged accordingly</w:t>
      </w:r>
      <w:r w:rsidR="006B3164" w:rsidRPr="001F73A7">
        <w:t xml:space="preserve">, </w:t>
      </w:r>
    </w:p>
    <w:p w14:paraId="3B184D37" w14:textId="77777777" w:rsidR="008B7923" w:rsidRPr="001F73A7" w:rsidRDefault="006B3164" w:rsidP="001F73A7">
      <w:pPr>
        <w:pStyle w:val="ListParagraph"/>
        <w:numPr>
          <w:ilvl w:val="0"/>
          <w:numId w:val="16"/>
        </w:numPr>
        <w:spacing w:after="0"/>
      </w:pPr>
      <w:r w:rsidRPr="001F73A7">
        <w:t>stored securely,</w:t>
      </w:r>
      <w:r w:rsidR="00F4295C" w:rsidRPr="001F73A7">
        <w:t xml:space="preserve"> and </w:t>
      </w:r>
    </w:p>
    <w:p w14:paraId="01B92908" w14:textId="32EF2854" w:rsidR="002146B6" w:rsidRPr="001F73A7" w:rsidRDefault="00F4295C" w:rsidP="001F73A7">
      <w:pPr>
        <w:pStyle w:val="ListParagraph"/>
        <w:numPr>
          <w:ilvl w:val="0"/>
          <w:numId w:val="16"/>
        </w:numPr>
        <w:spacing w:after="0"/>
      </w:pPr>
      <w:r w:rsidRPr="001F73A7">
        <w:t>inventoried annually.</w:t>
      </w:r>
    </w:p>
    <w:p w14:paraId="01B92909" w14:textId="794B0ED4" w:rsidR="00FF6870" w:rsidRPr="001F73A7" w:rsidRDefault="00256DD0" w:rsidP="001F73A7">
      <w:pPr>
        <w:spacing w:after="0"/>
      </w:pPr>
      <w:r w:rsidRPr="001F73A7">
        <w:t>Equipment purchases are not typically approved during the final year of the grant.</w:t>
      </w:r>
    </w:p>
    <w:p w14:paraId="4088B5CA" w14:textId="77777777" w:rsidR="00256DD0" w:rsidRPr="001F73A7" w:rsidRDefault="00256DD0" w:rsidP="001F73A7">
      <w:pPr>
        <w:spacing w:after="0"/>
      </w:pPr>
    </w:p>
    <w:p w14:paraId="1AB94D7A" w14:textId="77777777" w:rsidR="00D45E72" w:rsidRPr="001F73A7" w:rsidRDefault="00FA39D6" w:rsidP="001F73A7">
      <w:pPr>
        <w:pStyle w:val="Heading2"/>
      </w:pPr>
      <w:r w:rsidRPr="001F73A7">
        <w:t>Category 58000 Miscellaneous</w:t>
      </w:r>
      <w:r w:rsidR="00A63785" w:rsidRPr="001F73A7">
        <w:t xml:space="preserve"> </w:t>
      </w:r>
    </w:p>
    <w:p w14:paraId="0CD008F9" w14:textId="3C96586E" w:rsidR="003D07C8" w:rsidRPr="001F73A7" w:rsidRDefault="00D45E72" w:rsidP="001F73A7">
      <w:pPr>
        <w:spacing w:after="0"/>
      </w:pPr>
      <w:r w:rsidRPr="001F73A7">
        <w:t xml:space="preserve">This category is for things that do not fall under </w:t>
      </w:r>
      <w:r w:rsidR="00864742" w:rsidRPr="001F73A7">
        <w:t xml:space="preserve">any of </w:t>
      </w:r>
      <w:r w:rsidRPr="001F73A7">
        <w:t>the above</w:t>
      </w:r>
      <w:r w:rsidR="00864742" w:rsidRPr="001F73A7">
        <w:t xml:space="preserve"> categories. For </w:t>
      </w:r>
      <w:proofErr w:type="gramStart"/>
      <w:r w:rsidR="00864742" w:rsidRPr="001F73A7">
        <w:t>21</w:t>
      </w:r>
      <w:r w:rsidR="00864742" w:rsidRPr="001F73A7">
        <w:rPr>
          <w:vertAlign w:val="superscript"/>
        </w:rPr>
        <w:t>st</w:t>
      </w:r>
      <w:proofErr w:type="gramEnd"/>
      <w:r w:rsidR="00864742" w:rsidRPr="001F73A7">
        <w:t xml:space="preserve"> CCLC t</w:t>
      </w:r>
      <w:r w:rsidR="00CA7AA1" w:rsidRPr="001F73A7">
        <w:t xml:space="preserve">his category should be used for </w:t>
      </w:r>
      <w:r w:rsidR="009732F2" w:rsidRPr="001F73A7">
        <w:t>d</w:t>
      </w:r>
      <w:r w:rsidR="00CA7AA1" w:rsidRPr="001F73A7">
        <w:t xml:space="preserve">ues &amp; </w:t>
      </w:r>
      <w:r w:rsidR="009732F2" w:rsidRPr="001F73A7">
        <w:t>f</w:t>
      </w:r>
      <w:r w:rsidR="00CA7AA1" w:rsidRPr="001F73A7">
        <w:t xml:space="preserve">ees for professional organizations and </w:t>
      </w:r>
      <w:r w:rsidR="00864742" w:rsidRPr="001F73A7">
        <w:t>very little</w:t>
      </w:r>
      <w:r w:rsidR="00CA7AA1" w:rsidRPr="001F73A7">
        <w:t xml:space="preserve"> else</w:t>
      </w:r>
      <w:r w:rsidR="00FF6870" w:rsidRPr="001F73A7">
        <w:t xml:space="preserve">. </w:t>
      </w:r>
    </w:p>
    <w:p w14:paraId="257087ED" w14:textId="77777777" w:rsidR="004939E2" w:rsidRPr="001F73A7" w:rsidRDefault="004939E2" w:rsidP="001F73A7">
      <w:pPr>
        <w:spacing w:after="0"/>
        <w:rPr>
          <w:b/>
        </w:rPr>
      </w:pPr>
    </w:p>
    <w:p w14:paraId="01B9290D" w14:textId="055AF0AE" w:rsidR="00E55CD7" w:rsidRPr="001F73A7" w:rsidRDefault="00E55CD7" w:rsidP="001F73A7">
      <w:pPr>
        <w:pStyle w:val="Heading2"/>
      </w:pPr>
      <w:r w:rsidRPr="001F73A7">
        <w:t>Category 60000 Indirect</w:t>
      </w:r>
    </w:p>
    <w:p w14:paraId="262D23E8" w14:textId="77777777" w:rsidR="003873B5" w:rsidRPr="001F73A7" w:rsidRDefault="00E55CD7" w:rsidP="001F73A7">
      <w:pPr>
        <w:spacing w:after="0"/>
      </w:pPr>
      <w:r w:rsidRPr="001F73A7">
        <w:t xml:space="preserve">If you take </w:t>
      </w:r>
      <w:r w:rsidR="00741D4A" w:rsidRPr="001F73A7">
        <w:t xml:space="preserve">an </w:t>
      </w:r>
      <w:r w:rsidRPr="001F73A7">
        <w:t>indirect fee</w:t>
      </w:r>
      <w:r w:rsidR="00741D4A" w:rsidRPr="001F73A7">
        <w:t>,</w:t>
      </w:r>
      <w:r w:rsidRPr="001F73A7">
        <w:t xml:space="preserve"> it should be calculated not on the full amount of your grant, but instead as a percentage of eligible expenditures.</w:t>
      </w:r>
      <w:r w:rsidR="00672E95" w:rsidRPr="001F73A7">
        <w:t xml:space="preserve"> </w:t>
      </w:r>
      <w:r w:rsidRPr="001F73A7">
        <w:t>Eligible expenditures are all items in categories 51000, 52000, 56000, and 58000</w:t>
      </w:r>
      <w:r w:rsidR="00FF6870" w:rsidRPr="001F73A7">
        <w:t xml:space="preserve">. </w:t>
      </w:r>
      <w:r w:rsidRPr="001F73A7">
        <w:t>The first $25,000 of each contract in categories 53000, 54000, and 55000</w:t>
      </w:r>
      <w:r w:rsidR="00741D4A" w:rsidRPr="001F73A7">
        <w:t xml:space="preserve"> is also eligible</w:t>
      </w:r>
      <w:r w:rsidR="00FF6870" w:rsidRPr="001F73A7">
        <w:t xml:space="preserve">. </w:t>
      </w:r>
      <w:r w:rsidR="00741D4A" w:rsidRPr="001F73A7">
        <w:t xml:space="preserve">No </w:t>
      </w:r>
      <w:r w:rsidRPr="001F73A7">
        <w:t xml:space="preserve">expenditures in </w:t>
      </w:r>
      <w:proofErr w:type="gramStart"/>
      <w:r w:rsidRPr="001F73A7">
        <w:t>category</w:t>
      </w:r>
      <w:proofErr w:type="gramEnd"/>
      <w:r w:rsidRPr="001F73A7">
        <w:t xml:space="preserve"> 57000 or 60000</w:t>
      </w:r>
      <w:r w:rsidR="00741D4A" w:rsidRPr="001F73A7">
        <w:t xml:space="preserve"> are eligible</w:t>
      </w:r>
      <w:r w:rsidRPr="001F73A7">
        <w:t>.</w:t>
      </w:r>
      <w:r w:rsidR="00D357A7" w:rsidRPr="001F73A7">
        <w:t xml:space="preserve"> </w:t>
      </w:r>
    </w:p>
    <w:p w14:paraId="2BCDC6FC" w14:textId="77777777" w:rsidR="003873B5" w:rsidRPr="001F73A7" w:rsidRDefault="003873B5" w:rsidP="001F73A7">
      <w:pPr>
        <w:pStyle w:val="ListParagraph"/>
        <w:numPr>
          <w:ilvl w:val="0"/>
          <w:numId w:val="35"/>
        </w:numPr>
        <w:spacing w:after="0"/>
      </w:pPr>
      <w:r w:rsidRPr="001F73A7">
        <w:t xml:space="preserve">School districts, charter schools, and community-organizations that have a federally-negotiated indirect rate agreement, may use that rate – or a lower rate, if you prefer. Also, please make sure that RIDE has a copy of your most recent indirect rate agreement. </w:t>
      </w:r>
    </w:p>
    <w:p w14:paraId="01B92910" w14:textId="0DD0BFF9" w:rsidR="00C472B1" w:rsidRPr="001F73A7" w:rsidRDefault="003873B5" w:rsidP="001F73A7">
      <w:pPr>
        <w:pStyle w:val="ListParagraph"/>
        <w:numPr>
          <w:ilvl w:val="0"/>
          <w:numId w:val="35"/>
        </w:numPr>
        <w:spacing w:after="0"/>
      </w:pPr>
      <w:bookmarkStart w:id="2" w:name="_Hlk139535115"/>
      <w:r w:rsidRPr="001F73A7">
        <w:t xml:space="preserve">Alternatively, if you do not have a negotiated rate and have never had a negotiated rate, then you can use the federal </w:t>
      </w:r>
      <w:r w:rsidRPr="001F73A7">
        <w:rPr>
          <w:iCs/>
        </w:rPr>
        <w:t xml:space="preserve">default </w:t>
      </w:r>
      <w:r w:rsidRPr="001F73A7">
        <w:t xml:space="preserve">rate of 8%. </w:t>
      </w:r>
      <w:r w:rsidR="00445EDA" w:rsidRPr="001F73A7">
        <w:t xml:space="preserve">[34 CFR </w:t>
      </w:r>
      <w:r w:rsidR="00445EDA" w:rsidRPr="001F73A7">
        <w:rPr>
          <w:rFonts w:cstheme="minorHAnsi"/>
        </w:rPr>
        <w:t>§§</w:t>
      </w:r>
      <w:r w:rsidR="00445EDA" w:rsidRPr="001F73A7">
        <w:t>76.563 and 76.564]</w:t>
      </w:r>
      <w:r w:rsidR="00864742" w:rsidRPr="001F73A7">
        <w:t>.</w:t>
      </w:r>
      <w:r w:rsidR="00672E95" w:rsidRPr="001F73A7">
        <w:t xml:space="preserve"> </w:t>
      </w:r>
    </w:p>
    <w:bookmarkEnd w:id="2"/>
    <w:p w14:paraId="6014DA4C" w14:textId="37B088D2" w:rsidR="00864742" w:rsidRPr="001F73A7" w:rsidRDefault="00864742" w:rsidP="001F73A7">
      <w:pPr>
        <w:spacing w:after="0"/>
        <w:rPr>
          <w:b/>
          <w:u w:val="single"/>
        </w:rPr>
      </w:pPr>
    </w:p>
    <w:p w14:paraId="0A7D9EC8" w14:textId="0D5958C1" w:rsidR="00864742" w:rsidRPr="001F73A7" w:rsidRDefault="00864742" w:rsidP="001F73A7">
      <w:pPr>
        <w:pStyle w:val="Heading2"/>
      </w:pPr>
      <w:r w:rsidRPr="001F73A7">
        <w:t>Unallowable Expenses</w:t>
      </w:r>
    </w:p>
    <w:p w14:paraId="58D70E4D" w14:textId="2F04BF65" w:rsidR="00864742" w:rsidRPr="001F73A7" w:rsidRDefault="00864742" w:rsidP="001F73A7">
      <w:pPr>
        <w:spacing w:after="0"/>
        <w:rPr>
          <w:rFonts w:cstheme="minorHAnsi"/>
        </w:rPr>
      </w:pPr>
      <w:r w:rsidRPr="001F73A7">
        <w:rPr>
          <w:rFonts w:cstheme="minorHAnsi"/>
        </w:rPr>
        <w:t>21</w:t>
      </w:r>
      <w:r w:rsidRPr="001F73A7">
        <w:rPr>
          <w:rFonts w:cstheme="minorHAnsi"/>
          <w:vertAlign w:val="superscript"/>
        </w:rPr>
        <w:t>st</w:t>
      </w:r>
      <w:r w:rsidRPr="001F73A7">
        <w:rPr>
          <w:rFonts w:cstheme="minorHAnsi"/>
        </w:rPr>
        <w:t xml:space="preserve"> CCLC subgrant funds may not be used for:</w:t>
      </w:r>
    </w:p>
    <w:p w14:paraId="7E4556D6" w14:textId="3B75E8CF" w:rsidR="00FB4BAB" w:rsidRPr="001F73A7" w:rsidRDefault="00FB4BAB" w:rsidP="001F73A7">
      <w:pPr>
        <w:pStyle w:val="ListParagraph"/>
        <w:numPr>
          <w:ilvl w:val="0"/>
          <w:numId w:val="2"/>
        </w:numPr>
        <w:spacing w:after="0"/>
      </w:pPr>
      <w:bookmarkStart w:id="3" w:name="_Hlk152492062"/>
      <w:r w:rsidRPr="001F73A7">
        <w:t>Religious worship, instruction, or proselytization</w:t>
      </w:r>
      <w:r w:rsidR="00883009" w:rsidRPr="001F73A7">
        <w:t xml:space="preserve"> </w:t>
      </w:r>
      <w:r w:rsidR="00D67895" w:rsidRPr="001F73A7">
        <w:t>[</w:t>
      </w:r>
      <w:r w:rsidR="00D96FB3" w:rsidRPr="001F73A7">
        <w:t xml:space="preserve">ESSA </w:t>
      </w:r>
      <w:r w:rsidR="00D67895" w:rsidRPr="001F73A7">
        <w:rPr>
          <w:rFonts w:cstheme="minorHAnsi"/>
        </w:rPr>
        <w:t>§</w:t>
      </w:r>
      <w:r w:rsidR="00D67895" w:rsidRPr="001F73A7">
        <w:t>8505]</w:t>
      </w:r>
    </w:p>
    <w:p w14:paraId="0A686C8C" w14:textId="50F65C2D" w:rsidR="00864742" w:rsidRPr="001F73A7" w:rsidRDefault="00864742" w:rsidP="001F73A7">
      <w:pPr>
        <w:pStyle w:val="ListParagraph"/>
        <w:numPr>
          <w:ilvl w:val="0"/>
          <w:numId w:val="2"/>
        </w:numPr>
        <w:spacing w:after="0"/>
      </w:pPr>
      <w:r w:rsidRPr="001F73A7">
        <w:t>Construction</w:t>
      </w:r>
      <w:r w:rsidR="00FB4BAB" w:rsidRPr="001F73A7">
        <w:t xml:space="preserve"> or facility purchase or repair</w:t>
      </w:r>
      <w:r w:rsidRPr="001F73A7">
        <w:t xml:space="preserve"> </w:t>
      </w:r>
      <w:r w:rsidR="00FC0552" w:rsidRPr="001F73A7">
        <w:t>[</w:t>
      </w:r>
      <w:r w:rsidR="00D96FB3" w:rsidRPr="001F73A7">
        <w:t xml:space="preserve">ESSA </w:t>
      </w:r>
      <w:r w:rsidR="00FC0552" w:rsidRPr="001F73A7">
        <w:rPr>
          <w:rFonts w:cstheme="minorHAnsi"/>
        </w:rPr>
        <w:t>§</w:t>
      </w:r>
      <w:r w:rsidR="00FC0552" w:rsidRPr="001F73A7">
        <w:t>8</w:t>
      </w:r>
      <w:r w:rsidR="00883009" w:rsidRPr="001F73A7">
        <w:t>5</w:t>
      </w:r>
      <w:r w:rsidR="00FC0552" w:rsidRPr="001F73A7">
        <w:t>26(1)]</w:t>
      </w:r>
    </w:p>
    <w:p w14:paraId="6318F460" w14:textId="0929CF0F" w:rsidR="00864742" w:rsidRPr="001F73A7" w:rsidRDefault="00864742" w:rsidP="001F73A7">
      <w:pPr>
        <w:pStyle w:val="ListParagraph"/>
        <w:numPr>
          <w:ilvl w:val="0"/>
          <w:numId w:val="2"/>
        </w:numPr>
        <w:spacing w:after="0"/>
      </w:pPr>
      <w:r w:rsidRPr="001F73A7">
        <w:t>Materials or programs “designed to promo</w:t>
      </w:r>
      <w:r w:rsidR="00FB4BAB" w:rsidRPr="001F73A7">
        <w:t>te or encourage sexual activity</w:t>
      </w:r>
      <w:r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26(3)]</w:t>
      </w:r>
    </w:p>
    <w:p w14:paraId="4F63E595" w14:textId="2861A493" w:rsidR="00864742" w:rsidRPr="001F73A7" w:rsidRDefault="00864742" w:rsidP="001F73A7">
      <w:pPr>
        <w:pStyle w:val="ListParagraph"/>
        <w:numPr>
          <w:ilvl w:val="0"/>
          <w:numId w:val="2"/>
        </w:numPr>
        <w:spacing w:after="0"/>
      </w:pPr>
      <w:r w:rsidRPr="001F73A7">
        <w:t>Distribu</w:t>
      </w:r>
      <w:r w:rsidR="00FB4BAB" w:rsidRPr="001F73A7">
        <w:t>ting legally obscene materials</w:t>
      </w:r>
      <w:r w:rsidR="00FC0552"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26(4)]</w:t>
      </w:r>
    </w:p>
    <w:p w14:paraId="466B75BF" w14:textId="461474AD" w:rsidR="00864742" w:rsidRPr="001F73A7" w:rsidRDefault="00864742" w:rsidP="001F73A7">
      <w:pPr>
        <w:pStyle w:val="ListParagraph"/>
        <w:numPr>
          <w:ilvl w:val="0"/>
          <w:numId w:val="2"/>
        </w:numPr>
        <w:spacing w:after="0"/>
      </w:pPr>
      <w:r w:rsidRPr="001F73A7">
        <w:t>Sexuality- or HIV-education that is not age appropriate and that does not include the health b</w:t>
      </w:r>
      <w:r w:rsidR="00FB4BAB" w:rsidRPr="001F73A7">
        <w:t>enefits of abstinence</w:t>
      </w:r>
      <w:r w:rsidR="00FC0552"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26(5)]</w:t>
      </w:r>
    </w:p>
    <w:p w14:paraId="4EB6D342" w14:textId="65BE8ED3" w:rsidR="009D1D3A" w:rsidRPr="001F73A7" w:rsidRDefault="00FB4BAB" w:rsidP="001F73A7">
      <w:pPr>
        <w:pStyle w:val="ListParagraph"/>
        <w:numPr>
          <w:ilvl w:val="0"/>
          <w:numId w:val="2"/>
        </w:numPr>
        <w:spacing w:after="0"/>
      </w:pPr>
      <w:r w:rsidRPr="001F73A7">
        <w:t>Distributing contraceptives</w:t>
      </w:r>
      <w:r w:rsidR="00FC0552"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26(6)]</w:t>
      </w:r>
    </w:p>
    <w:p w14:paraId="620DF070" w14:textId="7015AA55" w:rsidR="00DE6B91" w:rsidRPr="001F73A7" w:rsidRDefault="00DE6B91" w:rsidP="001F73A7">
      <w:pPr>
        <w:pStyle w:val="ListParagraph"/>
        <w:numPr>
          <w:ilvl w:val="0"/>
          <w:numId w:val="2"/>
        </w:numPr>
        <w:spacing w:after="0"/>
        <w:rPr>
          <w:rFonts w:cstheme="minorHAnsi"/>
        </w:rPr>
      </w:pPr>
      <w:r w:rsidRPr="001F73A7">
        <w:rPr>
          <w:rFonts w:cstheme="minorHAnsi"/>
        </w:rPr>
        <w:t>Provision of, or training in the use of, a dangerous weapon</w:t>
      </w:r>
      <w:r w:rsidR="00541B99" w:rsidRPr="001F73A7">
        <w:rPr>
          <w:rFonts w:cstheme="minorHAnsi"/>
        </w:rPr>
        <w:t>. This prohibition does not apply to the use of funds for activities that are otherwise permissible and that “provide students with educational instruction or educational enrichment activities, such as archery, hunting, other shooting sports, or culinary arts.”</w:t>
      </w:r>
      <w:r w:rsidRPr="001F73A7">
        <w:t xml:space="preserve"> </w:t>
      </w:r>
      <w:r w:rsidR="00D96FB3" w:rsidRPr="001F73A7">
        <w:t xml:space="preserve">[ESSA </w:t>
      </w:r>
      <w:r w:rsidRPr="001F73A7">
        <w:rPr>
          <w:rFonts w:cstheme="minorHAnsi"/>
        </w:rPr>
        <w:t>§</w:t>
      </w:r>
      <w:r w:rsidRPr="001F73A7">
        <w:t>8</w:t>
      </w:r>
      <w:r w:rsidR="00883009" w:rsidRPr="001F73A7">
        <w:t>5</w:t>
      </w:r>
      <w:r w:rsidRPr="001F73A7">
        <w:t xml:space="preserve">26(7), as amended by </w:t>
      </w:r>
      <w:r w:rsidRPr="001F73A7">
        <w:rPr>
          <w:rFonts w:cstheme="minorHAnsi"/>
        </w:rPr>
        <w:t>§</w:t>
      </w:r>
      <w:r w:rsidRPr="001F73A7">
        <w:t>13401 of the Bipartisan Safer Communities Act of 2022]</w:t>
      </w:r>
    </w:p>
    <w:p w14:paraId="6C3D4714" w14:textId="10C2AE03" w:rsidR="00DE6B91" w:rsidRPr="001F73A7" w:rsidRDefault="00DE6B91" w:rsidP="001F73A7">
      <w:pPr>
        <w:pStyle w:val="ListParagraph"/>
        <w:numPr>
          <w:ilvl w:val="0"/>
          <w:numId w:val="2"/>
        </w:numPr>
        <w:spacing w:after="0"/>
        <w:rPr>
          <w:rFonts w:cstheme="minorHAnsi"/>
        </w:rPr>
      </w:pPr>
      <w:r w:rsidRPr="001F73A7">
        <w:t>Promotional items and memorabilia, including models, gifts, and souvenirs [</w:t>
      </w:r>
      <w:r w:rsidRPr="001F73A7">
        <w:rPr>
          <w:rFonts w:cstheme="minorHAnsi"/>
        </w:rPr>
        <w:t xml:space="preserve">2 CFR </w:t>
      </w:r>
      <w:r w:rsidRPr="001F73A7">
        <w:t>§200.421(e)(3)]</w:t>
      </w:r>
    </w:p>
    <w:p w14:paraId="05DCA8AE" w14:textId="381D10A9" w:rsidR="00DE6B91" w:rsidRPr="001F73A7" w:rsidRDefault="00DE6B91" w:rsidP="001F73A7">
      <w:pPr>
        <w:pStyle w:val="ListParagraph"/>
        <w:numPr>
          <w:ilvl w:val="0"/>
          <w:numId w:val="2"/>
        </w:numPr>
        <w:spacing w:after="0"/>
        <w:rPr>
          <w:rFonts w:cstheme="minorHAnsi"/>
        </w:rPr>
      </w:pPr>
      <w:r w:rsidRPr="001F73A7">
        <w:t xml:space="preserve">Advertising designed solely to promote the grantee </w:t>
      </w:r>
      <w:r w:rsidR="00A34582" w:rsidRPr="001F73A7">
        <w:t xml:space="preserve">organization </w:t>
      </w:r>
      <w:r w:rsidRPr="001F73A7">
        <w:t>[</w:t>
      </w:r>
      <w:r w:rsidRPr="001F73A7">
        <w:rPr>
          <w:rFonts w:cstheme="minorHAnsi"/>
        </w:rPr>
        <w:t xml:space="preserve">2 CFR </w:t>
      </w:r>
      <w:r w:rsidRPr="001F73A7">
        <w:t>§200.421(e)(4)]</w:t>
      </w:r>
    </w:p>
    <w:p w14:paraId="780041D0" w14:textId="1673C8A5" w:rsidR="00864742" w:rsidRPr="001F73A7" w:rsidRDefault="00FB4BAB" w:rsidP="001F73A7">
      <w:pPr>
        <w:pStyle w:val="ListParagraph"/>
        <w:numPr>
          <w:ilvl w:val="0"/>
          <w:numId w:val="2"/>
        </w:numPr>
        <w:spacing w:after="0"/>
        <w:rPr>
          <w:rFonts w:cstheme="minorHAnsi"/>
        </w:rPr>
      </w:pPr>
      <w:r w:rsidRPr="001F73A7">
        <w:t>Alcoholic beverages</w:t>
      </w:r>
      <w:r w:rsidR="001D0BC3" w:rsidRPr="001F73A7">
        <w:t xml:space="preserve"> [2 CFR §200.423]</w:t>
      </w:r>
    </w:p>
    <w:p w14:paraId="1D0A0BDA" w14:textId="2D2E23D9" w:rsidR="002C3970" w:rsidRPr="001F73A7" w:rsidRDefault="00145ABA" w:rsidP="001F73A7">
      <w:pPr>
        <w:pStyle w:val="ListParagraph"/>
        <w:numPr>
          <w:ilvl w:val="0"/>
          <w:numId w:val="2"/>
        </w:numPr>
        <w:spacing w:after="0"/>
        <w:rPr>
          <w:rFonts w:cstheme="minorHAnsi"/>
        </w:rPr>
      </w:pPr>
      <w:r w:rsidRPr="001F73A7">
        <w:rPr>
          <w:rFonts w:cstheme="minorHAnsi"/>
        </w:rPr>
        <w:t>Entertainment</w:t>
      </w:r>
      <w:r w:rsidR="001D0BC3" w:rsidRPr="001F73A7">
        <w:rPr>
          <w:rFonts w:cstheme="minorHAnsi"/>
        </w:rPr>
        <w:t xml:space="preserve"> [2 CFR </w:t>
      </w:r>
      <w:r w:rsidR="001D0BC3" w:rsidRPr="001F73A7">
        <w:t>§200.438]</w:t>
      </w:r>
    </w:p>
    <w:p w14:paraId="3D209F1D" w14:textId="5E21FBD2" w:rsidR="00DE6B91" w:rsidRPr="001F73A7" w:rsidRDefault="00DE6B91" w:rsidP="001F73A7">
      <w:pPr>
        <w:pStyle w:val="ListParagraph"/>
        <w:numPr>
          <w:ilvl w:val="0"/>
          <w:numId w:val="2"/>
        </w:numPr>
        <w:spacing w:after="0"/>
        <w:rPr>
          <w:rFonts w:cstheme="minorHAnsi"/>
        </w:rPr>
      </w:pPr>
      <w:r w:rsidRPr="001F73A7">
        <w:rPr>
          <w:rFonts w:cstheme="minorHAnsi"/>
        </w:rPr>
        <w:t xml:space="preserve">Organized fundraising, including financial campaigns, endowment drives, </w:t>
      </w:r>
      <w:r w:rsidR="005A2FE4" w:rsidRPr="001F73A7">
        <w:rPr>
          <w:rFonts w:cstheme="minorHAnsi"/>
        </w:rPr>
        <w:t xml:space="preserve">and </w:t>
      </w:r>
      <w:r w:rsidRPr="001F73A7">
        <w:rPr>
          <w:rFonts w:cstheme="minorHAnsi"/>
        </w:rPr>
        <w:t xml:space="preserve">solicitation of gifts and bequests </w:t>
      </w:r>
      <w:r w:rsidRPr="001F73A7">
        <w:t>[</w:t>
      </w:r>
      <w:r w:rsidRPr="001F73A7">
        <w:rPr>
          <w:rFonts w:cstheme="minorHAnsi"/>
        </w:rPr>
        <w:t xml:space="preserve">2 CFR </w:t>
      </w:r>
      <w:r w:rsidRPr="001F73A7">
        <w:t>§200.442]</w:t>
      </w:r>
    </w:p>
    <w:p w14:paraId="209F1AA1" w14:textId="58C685C6" w:rsidR="005A2FE4" w:rsidRPr="001F73A7" w:rsidRDefault="005A2FE4" w:rsidP="001F73A7">
      <w:pPr>
        <w:pStyle w:val="ListParagraph"/>
        <w:numPr>
          <w:ilvl w:val="0"/>
          <w:numId w:val="2"/>
        </w:numPr>
        <w:spacing w:after="0"/>
        <w:rPr>
          <w:rFonts w:cstheme="minorHAnsi"/>
        </w:rPr>
      </w:pPr>
      <w:r w:rsidRPr="001F73A7">
        <w:rPr>
          <w:rFonts w:cstheme="minorHAnsi"/>
        </w:rPr>
        <w:lastRenderedPageBreak/>
        <w:t xml:space="preserve">Goods or services for personal use of employees </w:t>
      </w:r>
      <w:r w:rsidRPr="001F73A7">
        <w:t>[</w:t>
      </w:r>
      <w:r w:rsidRPr="001F73A7">
        <w:rPr>
          <w:rFonts w:cstheme="minorHAnsi"/>
        </w:rPr>
        <w:t xml:space="preserve">2 CFR </w:t>
      </w:r>
      <w:r w:rsidRPr="001F73A7">
        <w:t>§200.445]</w:t>
      </w:r>
    </w:p>
    <w:p w14:paraId="323A94E8" w14:textId="5306D8A4" w:rsidR="00DE6B91" w:rsidRPr="001F73A7" w:rsidRDefault="00DE6B91" w:rsidP="001F73A7">
      <w:pPr>
        <w:pStyle w:val="ListParagraph"/>
        <w:numPr>
          <w:ilvl w:val="0"/>
          <w:numId w:val="2"/>
        </w:numPr>
        <w:spacing w:after="0"/>
        <w:rPr>
          <w:rFonts w:cstheme="minorHAnsi"/>
        </w:rPr>
      </w:pPr>
      <w:r w:rsidRPr="001F73A7">
        <w:t xml:space="preserve">Lobbying </w:t>
      </w:r>
      <w:r w:rsidR="005A2FE4" w:rsidRPr="001F73A7">
        <w:t>or</w:t>
      </w:r>
      <w:r w:rsidRPr="001F73A7">
        <w:t xml:space="preserve"> any attempt to influence enactment or modification of any pending federal or state legislation</w:t>
      </w:r>
      <w:r w:rsidR="005A2FE4" w:rsidRPr="001F73A7">
        <w:t xml:space="preserve"> </w:t>
      </w:r>
      <w:r w:rsidRPr="001F73A7">
        <w:rPr>
          <w:rFonts w:cstheme="minorHAnsi"/>
        </w:rPr>
        <w:t xml:space="preserve">[2 CFR </w:t>
      </w:r>
      <w:r w:rsidRPr="001F73A7">
        <w:t>§200.450]</w:t>
      </w:r>
      <w:bookmarkEnd w:id="3"/>
    </w:p>
    <w:p w14:paraId="4DA49004" w14:textId="4FD0C4DF" w:rsidR="00AC4C33" w:rsidRPr="001F73A7" w:rsidRDefault="00AC4C33" w:rsidP="001F73A7">
      <w:pPr>
        <w:spacing w:after="0"/>
        <w:rPr>
          <w:rFonts w:cstheme="minorHAnsi"/>
        </w:rPr>
      </w:pPr>
    </w:p>
    <w:p w14:paraId="065D42F5" w14:textId="517A51B5" w:rsidR="00610BFE" w:rsidRPr="001F73A7" w:rsidRDefault="00610BFE" w:rsidP="001F73A7">
      <w:pPr>
        <w:spacing w:after="0"/>
      </w:pPr>
      <w:r w:rsidRPr="001F73A7">
        <w:rPr>
          <w:b/>
          <w:bCs/>
        </w:rPr>
        <w:t xml:space="preserve">Gift </w:t>
      </w:r>
      <w:r w:rsidR="002C3970" w:rsidRPr="001F73A7">
        <w:rPr>
          <w:b/>
          <w:bCs/>
        </w:rPr>
        <w:t>c</w:t>
      </w:r>
      <w:r w:rsidRPr="001F73A7">
        <w:rPr>
          <w:b/>
          <w:bCs/>
        </w:rPr>
        <w:t>ards:</w:t>
      </w:r>
      <w:r w:rsidRPr="001F73A7">
        <w:t xml:space="preserve"> </w:t>
      </w:r>
      <w:bookmarkStart w:id="4" w:name="_Hlk152492271"/>
      <w:r w:rsidRPr="001F73A7">
        <w:t>While not explicitly prohibited by federal regulations, gift cards are not allowable for this grant</w:t>
      </w:r>
      <w:bookmarkEnd w:id="4"/>
      <w:r w:rsidRPr="001F73A7">
        <w:t xml:space="preserve">, due to the difficulties with maintaining proper fiscal controls with their use. </w:t>
      </w:r>
    </w:p>
    <w:p w14:paraId="5D2E1EA8" w14:textId="77777777" w:rsidR="00610BFE" w:rsidRPr="001F73A7" w:rsidRDefault="00610BFE" w:rsidP="001F73A7">
      <w:pPr>
        <w:spacing w:after="0"/>
      </w:pPr>
    </w:p>
    <w:p w14:paraId="66169C05" w14:textId="5FB778C3" w:rsidR="00864742" w:rsidRPr="001F73A7" w:rsidRDefault="00610BFE" w:rsidP="001F73A7">
      <w:pPr>
        <w:spacing w:after="0"/>
        <w:rPr>
          <w:rFonts w:cstheme="minorHAnsi"/>
        </w:rPr>
      </w:pPr>
      <w:r w:rsidRPr="001F73A7">
        <w:rPr>
          <w:rFonts w:cstheme="minorHAnsi"/>
          <w:b/>
          <w:bCs/>
        </w:rPr>
        <w:t>Field trips:</w:t>
      </w:r>
      <w:r w:rsidRPr="001F73A7">
        <w:rPr>
          <w:rFonts w:cstheme="minorHAnsi"/>
        </w:rPr>
        <w:t xml:space="preserve"> </w:t>
      </w:r>
      <w:r w:rsidR="00145ABA" w:rsidRPr="001F73A7">
        <w:rPr>
          <w:rFonts w:cstheme="minorHAnsi"/>
        </w:rPr>
        <w:t xml:space="preserve">Please note that field trips </w:t>
      </w:r>
      <w:r w:rsidR="00AC4C33" w:rsidRPr="001F73A7">
        <w:rPr>
          <w:rFonts w:cstheme="minorHAnsi"/>
        </w:rPr>
        <w:t xml:space="preserve">are </w:t>
      </w:r>
      <w:r w:rsidR="00684C11" w:rsidRPr="001F73A7">
        <w:rPr>
          <w:rFonts w:cstheme="minorHAnsi"/>
        </w:rPr>
        <w:t xml:space="preserve">only allowable if they serve a clear educational/programmatic purpose. </w:t>
      </w:r>
      <w:r w:rsidR="00A34582" w:rsidRPr="001F73A7">
        <w:rPr>
          <w:rFonts w:cstheme="minorHAnsi"/>
        </w:rPr>
        <w:t>Otherwise,</w:t>
      </w:r>
      <w:r w:rsidR="00684C11" w:rsidRPr="001F73A7">
        <w:rPr>
          <w:rFonts w:cstheme="minorHAnsi"/>
        </w:rPr>
        <w:t xml:space="preserve"> they </w:t>
      </w:r>
      <w:proofErr w:type="gramStart"/>
      <w:r w:rsidR="00684C11" w:rsidRPr="001F73A7">
        <w:rPr>
          <w:rFonts w:cstheme="minorHAnsi"/>
        </w:rPr>
        <w:t xml:space="preserve">are </w:t>
      </w:r>
      <w:r w:rsidR="00145ABA" w:rsidRPr="001F73A7">
        <w:rPr>
          <w:rFonts w:cstheme="minorHAnsi"/>
        </w:rPr>
        <w:t xml:space="preserve">considered </w:t>
      </w:r>
      <w:r w:rsidR="00AC4C33" w:rsidRPr="001F73A7">
        <w:rPr>
          <w:rFonts w:cstheme="minorHAnsi"/>
        </w:rPr>
        <w:t>to be</w:t>
      </w:r>
      <w:proofErr w:type="gramEnd"/>
      <w:r w:rsidR="00AC4C33" w:rsidRPr="001F73A7">
        <w:rPr>
          <w:rFonts w:cstheme="minorHAnsi"/>
        </w:rPr>
        <w:t xml:space="preserve"> </w:t>
      </w:r>
      <w:r w:rsidR="00145ABA" w:rsidRPr="001F73A7">
        <w:rPr>
          <w:rFonts w:cstheme="minorHAnsi"/>
        </w:rPr>
        <w:t>entertainment</w:t>
      </w:r>
      <w:r w:rsidR="00684C11" w:rsidRPr="001F73A7">
        <w:rPr>
          <w:rFonts w:cstheme="minorHAnsi"/>
        </w:rPr>
        <w:t xml:space="preserve"> and are thus unallowable</w:t>
      </w:r>
      <w:r w:rsidRPr="001F73A7">
        <w:rPr>
          <w:rFonts w:cstheme="minorHAnsi"/>
        </w:rPr>
        <w:t>. J</w:t>
      </w:r>
      <w:r w:rsidR="00145ABA" w:rsidRPr="001F73A7">
        <w:rPr>
          <w:rFonts w:cstheme="minorHAnsi"/>
        </w:rPr>
        <w:t xml:space="preserve">ustification should be provided in the budget narrative for </w:t>
      </w:r>
      <w:r w:rsidR="00684C11" w:rsidRPr="001F73A7">
        <w:rPr>
          <w:rFonts w:cstheme="minorHAnsi"/>
        </w:rPr>
        <w:t xml:space="preserve">all </w:t>
      </w:r>
      <w:r w:rsidR="00145ABA" w:rsidRPr="001F73A7">
        <w:rPr>
          <w:rFonts w:cstheme="minorHAnsi"/>
        </w:rPr>
        <w:t>field trip</w:t>
      </w:r>
      <w:r w:rsidR="00684C11" w:rsidRPr="001F73A7">
        <w:rPr>
          <w:rFonts w:cstheme="minorHAnsi"/>
        </w:rPr>
        <w:t>s</w:t>
      </w:r>
      <w:r w:rsidR="00145ABA" w:rsidRPr="001F73A7">
        <w:rPr>
          <w:rFonts w:cstheme="minorHAnsi"/>
        </w:rPr>
        <w:t xml:space="preserve"> planned.</w:t>
      </w:r>
      <w:r w:rsidR="00684C11" w:rsidRPr="001F73A7">
        <w:rPr>
          <w:rFonts w:cstheme="minorHAnsi"/>
        </w:rPr>
        <w:t xml:space="preserve"> It is strongly recommended that you create a lesson plan for each field trip and keep a copy of it on file.</w:t>
      </w:r>
    </w:p>
    <w:p w14:paraId="33200DA2" w14:textId="1784A1F8" w:rsidR="00CE13C7" w:rsidRPr="001F73A7" w:rsidRDefault="00CE13C7" w:rsidP="001F73A7">
      <w:pPr>
        <w:spacing w:after="0"/>
      </w:pPr>
    </w:p>
    <w:p w14:paraId="6C125F77" w14:textId="78F65B09" w:rsidR="00864742" w:rsidRPr="001F73A7" w:rsidRDefault="00FC361C" w:rsidP="001F73A7">
      <w:pPr>
        <w:spacing w:after="0"/>
      </w:pPr>
      <w:r w:rsidRPr="001F73A7">
        <w:rPr>
          <w:b/>
          <w:bCs/>
        </w:rPr>
        <w:t>Food:</w:t>
      </w:r>
      <w:r w:rsidRPr="001F73A7">
        <w:t xml:space="preserve"> Food is not allowable for non-programmatic activities (e.g.</w:t>
      </w:r>
      <w:r w:rsidR="00684C11" w:rsidRPr="001F73A7">
        <w:t>,</w:t>
      </w:r>
      <w:r w:rsidRPr="001F73A7">
        <w:t xml:space="preserve"> staff meetings, professional development events, etc.) </w:t>
      </w:r>
      <w:proofErr w:type="gramStart"/>
      <w:r w:rsidRPr="001F73A7">
        <w:t>with the exception of</w:t>
      </w:r>
      <w:proofErr w:type="gramEnd"/>
      <w:r w:rsidRPr="001F73A7">
        <w:t xml:space="preserve"> out-of-state travel (e.g.</w:t>
      </w:r>
      <w:r w:rsidR="00684C11" w:rsidRPr="001F73A7">
        <w:t>,</w:t>
      </w:r>
      <w:r w:rsidRPr="001F73A7">
        <w:t xml:space="preserve"> for conferences). </w:t>
      </w:r>
      <w:r w:rsidR="003D07C8" w:rsidRPr="001F73A7">
        <w:t xml:space="preserve">It may be allowable for activities for youth or </w:t>
      </w:r>
      <w:proofErr w:type="gramStart"/>
      <w:r w:rsidR="003D07C8" w:rsidRPr="001F73A7">
        <w:t>families, if</w:t>
      </w:r>
      <w:proofErr w:type="gramEnd"/>
      <w:r w:rsidR="003D07C8" w:rsidRPr="001F73A7">
        <w:t xml:space="preserve"> it serves a programmatic purpose and is necessary for the success of the activity. 21</w:t>
      </w:r>
      <w:r w:rsidR="003D07C8" w:rsidRPr="001F73A7">
        <w:rPr>
          <w:vertAlign w:val="superscript"/>
        </w:rPr>
        <w:t>st</w:t>
      </w:r>
      <w:r w:rsidR="003D07C8" w:rsidRPr="001F73A7">
        <w:t xml:space="preserve"> CCLC grantees are </w:t>
      </w:r>
      <w:r w:rsidR="00684C11" w:rsidRPr="001F73A7">
        <w:t xml:space="preserve">expected </w:t>
      </w:r>
      <w:r w:rsidR="003D07C8" w:rsidRPr="001F73A7">
        <w:t>to rely on the USDA snacks and meals programs as much as possible for food.</w:t>
      </w:r>
      <w:r w:rsidR="006F712C" w:rsidRPr="001F73A7">
        <w:t xml:space="preserve"> If requesting 21</w:t>
      </w:r>
      <w:r w:rsidR="006F712C" w:rsidRPr="001F73A7">
        <w:rPr>
          <w:vertAlign w:val="superscript"/>
        </w:rPr>
        <w:t>st</w:t>
      </w:r>
      <w:r w:rsidR="006F712C" w:rsidRPr="001F73A7">
        <w:t xml:space="preserve"> CCLC funds for food, please include a justification for it in the Budget Narrative and explain why the need cannot be covered by the USDA snacks or meals programs.</w:t>
      </w:r>
      <w:r w:rsidR="00684C11" w:rsidRPr="001F73A7">
        <w:t xml:space="preserve"> </w:t>
      </w:r>
      <w:bookmarkStart w:id="5" w:name="_Hlk139535164"/>
      <w:r w:rsidR="00684C11" w:rsidRPr="001F73A7">
        <w:t>Snacks purchased for students outside of the USDA snack/meal programs should be healthy options in accordance with the </w:t>
      </w:r>
      <w:hyperlink r:id="rId14" w:history="1">
        <w:r w:rsidR="00684C11" w:rsidRPr="001F73A7">
          <w:rPr>
            <w:rStyle w:val="Hyperlink"/>
            <w:i/>
            <w:iCs/>
          </w:rPr>
          <w:t>National Afterschool Association Health Eating and Physical Activity Standards</w:t>
        </w:r>
      </w:hyperlink>
      <w:r w:rsidR="00FA5532" w:rsidRPr="001F73A7">
        <w:rPr>
          <w:i/>
          <w:iCs/>
        </w:rPr>
        <w:t>.</w:t>
      </w:r>
      <w:r w:rsidR="00684C11" w:rsidRPr="001F73A7">
        <w:t xml:space="preserve"> </w:t>
      </w:r>
      <w:bookmarkEnd w:id="5"/>
    </w:p>
    <w:p w14:paraId="4C92DDDC" w14:textId="4F62B761" w:rsidR="00864742" w:rsidRPr="001F73A7" w:rsidRDefault="00864742" w:rsidP="001F73A7">
      <w:pPr>
        <w:spacing w:after="0"/>
      </w:pPr>
    </w:p>
    <w:p w14:paraId="374E3A36" w14:textId="7B56229D" w:rsidR="002C3970" w:rsidRPr="001F73A7" w:rsidRDefault="002C3970" w:rsidP="001F73A7">
      <w:pPr>
        <w:spacing w:after="0"/>
      </w:pPr>
      <w:bookmarkStart w:id="6" w:name="_Hlk147239731"/>
      <w:r w:rsidRPr="001F73A7">
        <w:rPr>
          <w:b/>
          <w:bCs/>
        </w:rPr>
        <w:t>Potential “dangerous weapons”:</w:t>
      </w:r>
      <w:r w:rsidRPr="001F73A7">
        <w:t xml:space="preserve"> Federal </w:t>
      </w:r>
      <w:r w:rsidR="00541B99" w:rsidRPr="001F73A7">
        <w:t>legislation changed in October 2023, specifically allowing the use of funds for activities like cooking/culinary,</w:t>
      </w:r>
      <w:r w:rsidRPr="001F73A7">
        <w:t xml:space="preserve"> archery, hunting safety, and gun safety programs, including ones that are part of many JROTC programs.</w:t>
      </w:r>
    </w:p>
    <w:bookmarkEnd w:id="6"/>
    <w:p w14:paraId="20DF7F94" w14:textId="77777777" w:rsidR="002C3970" w:rsidRPr="001F73A7" w:rsidRDefault="002C3970" w:rsidP="001F73A7">
      <w:pPr>
        <w:spacing w:after="0"/>
      </w:pPr>
    </w:p>
    <w:p w14:paraId="09B33B00" w14:textId="044EA329" w:rsidR="00497B3E" w:rsidRPr="001F73A7" w:rsidRDefault="00497B3E" w:rsidP="001F73A7">
      <w:pPr>
        <w:spacing w:after="0"/>
      </w:pPr>
      <w:r w:rsidRPr="001F73A7">
        <w:rPr>
          <w:b/>
          <w:bCs/>
        </w:rPr>
        <w:t>Clothing:</w:t>
      </w:r>
      <w:r w:rsidRPr="001F73A7">
        <w:t xml:space="preserve"> T-shirts and other clothing are generally not an allowable expense with this grant. The one exception is that they may be allowable if they serve an explicit safety purpose (e.g., identifying program participants on a field trip). Purchasing clothing for branding or as promotional materials is not allowed.</w:t>
      </w:r>
    </w:p>
    <w:p w14:paraId="69F44F17" w14:textId="77777777" w:rsidR="00497B3E" w:rsidRPr="001F73A7" w:rsidRDefault="00497B3E" w:rsidP="001F73A7">
      <w:pPr>
        <w:spacing w:after="0"/>
      </w:pPr>
    </w:p>
    <w:p w14:paraId="7DF10447" w14:textId="64A37177" w:rsidR="00A34582" w:rsidRPr="001F73A7" w:rsidRDefault="00A34582" w:rsidP="001F73A7">
      <w:pPr>
        <w:spacing w:after="0"/>
      </w:pPr>
      <w:r w:rsidRPr="001F73A7">
        <w:rPr>
          <w:b/>
          <w:bCs/>
        </w:rPr>
        <w:t>Incentives:</w:t>
      </w:r>
      <w:r w:rsidRPr="001F73A7">
        <w:t xml:space="preserve"> </w:t>
      </w:r>
      <w:r w:rsidR="00711C74" w:rsidRPr="001F73A7">
        <w:t>Incentives for program participation are allowable, but they must be nominal</w:t>
      </w:r>
      <w:r w:rsidR="004F5FE3" w:rsidRPr="001F73A7">
        <w:t xml:space="preserve"> </w:t>
      </w:r>
      <w:r w:rsidR="000E4718" w:rsidRPr="001F73A7">
        <w:t>in value. Cash, stipends, and gift cards are not allowable incentives.</w:t>
      </w:r>
    </w:p>
    <w:p w14:paraId="0387D257" w14:textId="77777777" w:rsidR="000E4718" w:rsidRPr="001F73A7" w:rsidRDefault="000E4718" w:rsidP="001F73A7">
      <w:pPr>
        <w:spacing w:after="0"/>
      </w:pPr>
    </w:p>
    <w:p w14:paraId="4A721A4A" w14:textId="13552B94" w:rsidR="000E4718" w:rsidRPr="001F73A7" w:rsidRDefault="000E4718" w:rsidP="001F73A7">
      <w:pPr>
        <w:spacing w:after="0"/>
      </w:pPr>
      <w:r w:rsidRPr="001F73A7">
        <w:rPr>
          <w:b/>
          <w:bCs/>
        </w:rPr>
        <w:t>Student stipends:</w:t>
      </w:r>
      <w:r w:rsidRPr="001F73A7">
        <w:t xml:space="preserve"> These are an allowable expense, but simply providing a stipend for attending the program is </w:t>
      </w:r>
      <w:r w:rsidRPr="001F73A7">
        <w:rPr>
          <w:i/>
          <w:iCs/>
          <w:u w:val="single"/>
        </w:rPr>
        <w:t>not</w:t>
      </w:r>
      <w:r w:rsidRPr="001F73A7">
        <w:t xml:space="preserve"> allowable. Students must produce some kind of deliverable or provide a service for stipends to be allowable, which should be outlined in the budget narrative. There must be some tangible benefit to others or to the program. </w:t>
      </w:r>
    </w:p>
    <w:p w14:paraId="16677322" w14:textId="77777777" w:rsidR="000E4718" w:rsidRPr="001F73A7" w:rsidRDefault="000E4718" w:rsidP="001F73A7">
      <w:pPr>
        <w:spacing w:after="0"/>
      </w:pPr>
    </w:p>
    <w:p w14:paraId="002836AA" w14:textId="64DB23E4" w:rsidR="000E4718" w:rsidRPr="001F73A7" w:rsidRDefault="000E4718" w:rsidP="001F73A7">
      <w:pPr>
        <w:spacing w:after="0"/>
      </w:pPr>
      <w:r w:rsidRPr="001F73A7">
        <w:rPr>
          <w:b/>
          <w:bCs/>
        </w:rPr>
        <w:t xml:space="preserve">Scholarships/memberships: </w:t>
      </w:r>
      <w:r w:rsidRPr="001F73A7">
        <w:t xml:space="preserve">Providing students with scholarships for college or to cover costs or fees for other programs </w:t>
      </w:r>
      <w:r w:rsidR="0056594F" w:rsidRPr="001F73A7">
        <w:t>that are not directly part of the 21</w:t>
      </w:r>
      <w:r w:rsidR="0056594F" w:rsidRPr="001F73A7">
        <w:rPr>
          <w:vertAlign w:val="superscript"/>
        </w:rPr>
        <w:t>st</w:t>
      </w:r>
      <w:r w:rsidR="0056594F" w:rsidRPr="001F73A7">
        <w:t xml:space="preserve"> CCLC </w:t>
      </w:r>
      <w:r w:rsidR="006F65FB" w:rsidRPr="001F73A7">
        <w:t>offerings</w:t>
      </w:r>
      <w:r w:rsidR="0056594F" w:rsidRPr="001F73A7">
        <w:t xml:space="preserve"> </w:t>
      </w:r>
      <w:r w:rsidRPr="001F73A7">
        <w:t xml:space="preserve">is generally not allowable. However, </w:t>
      </w:r>
      <w:r w:rsidR="0056594F" w:rsidRPr="001F73A7">
        <w:t xml:space="preserve">funds may be used to cover costs </w:t>
      </w:r>
      <w:r w:rsidR="006F65FB" w:rsidRPr="001F73A7">
        <w:t>for memberships or fees for programs that are necessary for students to participate in a 21</w:t>
      </w:r>
      <w:r w:rsidR="006F65FB" w:rsidRPr="001F73A7">
        <w:rPr>
          <w:vertAlign w:val="superscript"/>
        </w:rPr>
        <w:t>st</w:t>
      </w:r>
      <w:r w:rsidR="006F65FB" w:rsidRPr="001F73A7">
        <w:t xml:space="preserve"> CCLC offering. In fact, such fees should be covered or waived </w:t>
      </w:r>
      <w:proofErr w:type="gramStart"/>
      <w:r w:rsidR="006F65FB" w:rsidRPr="001F73A7">
        <w:t>in order to</w:t>
      </w:r>
      <w:proofErr w:type="gramEnd"/>
      <w:r w:rsidR="006F65FB" w:rsidRPr="001F73A7">
        <w:t xml:space="preserve"> eliminate any potential financial barriers to full participation in the grant and its offerings. In those cases, however, f</w:t>
      </w:r>
      <w:r w:rsidRPr="001F73A7">
        <w:t xml:space="preserve">unds should </w:t>
      </w:r>
      <w:r w:rsidR="006F65FB" w:rsidRPr="001F73A7">
        <w:t xml:space="preserve">go directly to the organization charging them and should </w:t>
      </w:r>
      <w:r w:rsidRPr="001F73A7">
        <w:t xml:space="preserve">not be provided directly to </w:t>
      </w:r>
      <w:r w:rsidR="006F65FB" w:rsidRPr="001F73A7">
        <w:t xml:space="preserve">students or </w:t>
      </w:r>
      <w:r w:rsidRPr="001F73A7">
        <w:t xml:space="preserve">families.  </w:t>
      </w:r>
    </w:p>
    <w:p w14:paraId="5CB4D061" w14:textId="77777777" w:rsidR="00A34582" w:rsidRPr="001F73A7" w:rsidRDefault="00A34582" w:rsidP="001F73A7">
      <w:pPr>
        <w:spacing w:after="0"/>
      </w:pPr>
    </w:p>
    <w:p w14:paraId="70C07211" w14:textId="0DEF07AC" w:rsidR="00FB4BAB" w:rsidRPr="001F73A7" w:rsidRDefault="00330D1B" w:rsidP="001F73A7">
      <w:pPr>
        <w:spacing w:after="0"/>
        <w:rPr>
          <w:b/>
          <w:color w:val="1F497D" w:themeColor="text2"/>
        </w:rPr>
      </w:pPr>
      <w:r w:rsidRPr="001F73A7">
        <w:rPr>
          <w:b/>
          <w:bCs/>
        </w:rPr>
        <w:t xml:space="preserve">School-day </w:t>
      </w:r>
      <w:r w:rsidR="002C3970" w:rsidRPr="001F73A7">
        <w:rPr>
          <w:b/>
          <w:bCs/>
        </w:rPr>
        <w:t>a</w:t>
      </w:r>
      <w:r w:rsidRPr="001F73A7">
        <w:rPr>
          <w:b/>
          <w:bCs/>
        </w:rPr>
        <w:t>ctivities:</w:t>
      </w:r>
      <w:r w:rsidRPr="001F73A7">
        <w:t xml:space="preserve"> </w:t>
      </w:r>
      <w:r w:rsidR="002F5268" w:rsidRPr="001F73A7">
        <w:t xml:space="preserve">Because federal statute </w:t>
      </w:r>
      <w:r w:rsidR="002F5268" w:rsidRPr="001F73A7">
        <w:rPr>
          <w:bCs/>
        </w:rPr>
        <w:t>specifically requires that 21</w:t>
      </w:r>
      <w:r w:rsidR="002F5268" w:rsidRPr="001F73A7">
        <w:rPr>
          <w:bCs/>
          <w:vertAlign w:val="superscript"/>
        </w:rPr>
        <w:t>st</w:t>
      </w:r>
      <w:r w:rsidR="002F5268" w:rsidRPr="001F73A7">
        <w:rPr>
          <w:bCs/>
        </w:rPr>
        <w:t xml:space="preserve"> CCLC services for K-12 students be provided outside the regular school day or during periods when school is not in session, 21</w:t>
      </w:r>
      <w:r w:rsidR="002F5268" w:rsidRPr="001F73A7">
        <w:rPr>
          <w:bCs/>
          <w:vertAlign w:val="superscript"/>
        </w:rPr>
        <w:t>st</w:t>
      </w:r>
      <w:r w:rsidR="002F5268" w:rsidRPr="001F73A7">
        <w:rPr>
          <w:bCs/>
        </w:rPr>
        <w:t xml:space="preserve"> CCLC funds may not be used for services that take place during regular school hours. The one exception to this is services that target pre-kindergarten </w:t>
      </w:r>
      <w:r w:rsidR="002F5268" w:rsidRPr="001F73A7">
        <w:rPr>
          <w:bCs/>
        </w:rPr>
        <w:lastRenderedPageBreak/>
        <w:t>children and/or adult family members. Planning, coordination</w:t>
      </w:r>
      <w:r w:rsidR="00FA5532" w:rsidRPr="001F73A7">
        <w:rPr>
          <w:bCs/>
        </w:rPr>
        <w:t>,</w:t>
      </w:r>
      <w:r w:rsidR="002F5268" w:rsidRPr="001F73A7">
        <w:rPr>
          <w:bCs/>
        </w:rPr>
        <w:t xml:space="preserve"> and administrative tasks that support the grant are also allowable during school hours.</w:t>
      </w:r>
      <w:r w:rsidR="00FB4BAB" w:rsidRPr="001F73A7">
        <w:rPr>
          <w:b/>
          <w:color w:val="1F497D" w:themeColor="text2"/>
        </w:rPr>
        <w:br w:type="page"/>
      </w:r>
    </w:p>
    <w:p w14:paraId="7E5A0B89" w14:textId="404665CA" w:rsidR="008F12CF" w:rsidRPr="001F73A7" w:rsidRDefault="00D878B6" w:rsidP="001F73A7">
      <w:pPr>
        <w:pStyle w:val="Heading1"/>
      </w:pPr>
      <w:r w:rsidRPr="001F73A7">
        <w:lastRenderedPageBreak/>
        <w:t xml:space="preserve">III. </w:t>
      </w:r>
      <w:r w:rsidR="008F12CF" w:rsidRPr="001F73A7">
        <w:t>Program Income</w:t>
      </w:r>
    </w:p>
    <w:p w14:paraId="5F79895E" w14:textId="108DD4AA" w:rsidR="008F12CF" w:rsidRPr="001F73A7" w:rsidRDefault="008F12CF" w:rsidP="001F73A7">
      <w:pPr>
        <w:pStyle w:val="DefaultText"/>
        <w:spacing w:line="276" w:lineRule="auto"/>
        <w:rPr>
          <w:rFonts w:asciiTheme="minorHAnsi" w:hAnsiTheme="minorHAnsi" w:cstheme="minorHAnsi"/>
          <w:sz w:val="22"/>
          <w:szCs w:val="22"/>
        </w:rPr>
      </w:pPr>
      <w:r w:rsidRPr="001F73A7">
        <w:rPr>
          <w:rFonts w:asciiTheme="minorHAnsi" w:hAnsiTheme="minorHAnsi" w:cstheme="minorHAnsi"/>
          <w:sz w:val="22"/>
          <w:szCs w:val="22"/>
        </w:rPr>
        <w:t xml:space="preserve">Any program income earned </w:t>
      </w:r>
      <w:proofErr w:type="gramStart"/>
      <w:r w:rsidRPr="001F73A7">
        <w:rPr>
          <w:rFonts w:asciiTheme="minorHAnsi" w:hAnsiTheme="minorHAnsi" w:cstheme="minorHAnsi"/>
          <w:sz w:val="22"/>
          <w:szCs w:val="22"/>
        </w:rPr>
        <w:t>as a result of</w:t>
      </w:r>
      <w:proofErr w:type="gramEnd"/>
      <w:r w:rsidRPr="001F73A7">
        <w:rPr>
          <w:rFonts w:asciiTheme="minorHAnsi" w:hAnsiTheme="minorHAnsi" w:cstheme="minorHAnsi"/>
          <w:sz w:val="22"/>
          <w:szCs w:val="22"/>
        </w:rPr>
        <w:t xml:space="preserve"> the subgrant requires prior approval from RIDE. “Program income includes but is not limited to income from </w:t>
      </w:r>
      <w:r w:rsidRPr="001F73A7">
        <w:rPr>
          <w:rFonts w:asciiTheme="minorHAnsi" w:hAnsiTheme="minorHAnsi" w:cstheme="minorHAnsi"/>
          <w:iCs/>
          <w:sz w:val="22"/>
          <w:szCs w:val="22"/>
        </w:rPr>
        <w:t>fees for services performed</w:t>
      </w:r>
      <w:r w:rsidRPr="001F73A7">
        <w:rPr>
          <w:rFonts w:asciiTheme="minorHAnsi" w:hAnsiTheme="minorHAnsi" w:cstheme="minorHAnsi"/>
          <w:sz w:val="22"/>
          <w:szCs w:val="22"/>
        </w:rPr>
        <w:t>, the use or rental of real or personal property acquired under Federal awards, the sale of commodities or items fabricated under a Federal award, license fees and royalties on patents and copyrights, and principal and interest on loans made with Federal award funds” [</w:t>
      </w:r>
      <w:hyperlink r:id="rId15" w:history="1">
        <w:r w:rsidRPr="001F73A7">
          <w:rPr>
            <w:rStyle w:val="Hyperlink"/>
            <w:rFonts w:asciiTheme="minorHAnsi" w:hAnsiTheme="minorHAnsi" w:cstheme="minorHAnsi"/>
            <w:sz w:val="22"/>
            <w:szCs w:val="22"/>
          </w:rPr>
          <w:t>2 CFR §200.</w:t>
        </w:r>
        <w:r w:rsidR="00C51256" w:rsidRPr="001F73A7">
          <w:rPr>
            <w:rStyle w:val="Hyperlink"/>
            <w:rFonts w:asciiTheme="minorHAnsi" w:hAnsiTheme="minorHAnsi" w:cstheme="minorHAnsi"/>
            <w:sz w:val="22"/>
            <w:szCs w:val="22"/>
          </w:rPr>
          <w:t>1</w:t>
        </w:r>
      </w:hyperlink>
      <w:r w:rsidRPr="001F73A7">
        <w:rPr>
          <w:rFonts w:asciiTheme="minorHAnsi" w:hAnsiTheme="minorHAnsi" w:cstheme="minorHAnsi"/>
          <w:sz w:val="22"/>
          <w:szCs w:val="22"/>
        </w:rPr>
        <w:t xml:space="preserve">]. Program income does not include </w:t>
      </w:r>
      <w:r w:rsidR="00FA5532" w:rsidRPr="001F73A7">
        <w:rPr>
          <w:rFonts w:asciiTheme="minorHAnsi" w:hAnsiTheme="minorHAnsi" w:cstheme="minorHAnsi"/>
          <w:sz w:val="22"/>
          <w:szCs w:val="22"/>
        </w:rPr>
        <w:t>donations,</w:t>
      </w:r>
      <w:r w:rsidRPr="001F73A7">
        <w:rPr>
          <w:rFonts w:asciiTheme="minorHAnsi" w:hAnsiTheme="minorHAnsi" w:cstheme="minorHAnsi"/>
          <w:sz w:val="22"/>
          <w:szCs w:val="22"/>
        </w:rPr>
        <w:t xml:space="preserve"> but it </w:t>
      </w:r>
      <w:r w:rsidR="00FA5532" w:rsidRPr="001F73A7">
        <w:rPr>
          <w:rFonts w:asciiTheme="minorHAnsi" w:hAnsiTheme="minorHAnsi" w:cstheme="minorHAnsi"/>
          <w:sz w:val="22"/>
          <w:szCs w:val="22"/>
        </w:rPr>
        <w:t xml:space="preserve">may </w:t>
      </w:r>
      <w:r w:rsidRPr="001F73A7">
        <w:rPr>
          <w:rFonts w:asciiTheme="minorHAnsi" w:hAnsiTheme="minorHAnsi" w:cstheme="minorHAnsi"/>
          <w:sz w:val="22"/>
          <w:szCs w:val="22"/>
        </w:rPr>
        <w:t>include fundraisers where 21</w:t>
      </w:r>
      <w:r w:rsidRPr="001F73A7">
        <w:rPr>
          <w:rFonts w:asciiTheme="minorHAnsi" w:hAnsiTheme="minorHAnsi" w:cstheme="minorHAnsi"/>
          <w:sz w:val="22"/>
          <w:szCs w:val="22"/>
          <w:vertAlign w:val="superscript"/>
        </w:rPr>
        <w:t>st</w:t>
      </w:r>
      <w:r w:rsidRPr="001F73A7">
        <w:rPr>
          <w:rFonts w:asciiTheme="minorHAnsi" w:hAnsiTheme="minorHAnsi" w:cstheme="minorHAnsi"/>
          <w:sz w:val="22"/>
          <w:szCs w:val="22"/>
        </w:rPr>
        <w:t xml:space="preserve"> CCLC funds were used (e.g.</w:t>
      </w:r>
      <w:r w:rsidR="00FA5532" w:rsidRPr="001F73A7">
        <w:rPr>
          <w:rFonts w:asciiTheme="minorHAnsi" w:hAnsiTheme="minorHAnsi" w:cstheme="minorHAnsi"/>
          <w:sz w:val="22"/>
          <w:szCs w:val="22"/>
        </w:rPr>
        <w:t>,</w:t>
      </w:r>
      <w:r w:rsidRPr="001F73A7">
        <w:rPr>
          <w:rFonts w:asciiTheme="minorHAnsi" w:hAnsiTheme="minorHAnsi" w:cstheme="minorHAnsi"/>
          <w:sz w:val="22"/>
          <w:szCs w:val="22"/>
        </w:rPr>
        <w:t xml:space="preserve"> for supplies or staff time).</w:t>
      </w:r>
    </w:p>
    <w:p w14:paraId="073631CC" w14:textId="77777777" w:rsidR="00FA5532" w:rsidRPr="001F73A7" w:rsidRDefault="00FA5532" w:rsidP="001F73A7">
      <w:pPr>
        <w:pStyle w:val="DefaultText"/>
        <w:spacing w:line="276" w:lineRule="auto"/>
        <w:rPr>
          <w:rFonts w:asciiTheme="minorHAnsi" w:hAnsiTheme="minorHAnsi" w:cstheme="minorHAnsi"/>
          <w:sz w:val="22"/>
          <w:szCs w:val="22"/>
        </w:rPr>
      </w:pPr>
    </w:p>
    <w:p w14:paraId="38660869" w14:textId="2E48D198" w:rsidR="00242C83" w:rsidRPr="001F73A7" w:rsidRDefault="00242C83" w:rsidP="001F73A7">
      <w:pPr>
        <w:pStyle w:val="DefaultText"/>
        <w:spacing w:line="276" w:lineRule="auto"/>
        <w:rPr>
          <w:rFonts w:asciiTheme="minorHAnsi" w:hAnsiTheme="minorHAnsi" w:cstheme="minorHAnsi"/>
          <w:sz w:val="22"/>
          <w:szCs w:val="22"/>
        </w:rPr>
      </w:pPr>
      <w:r w:rsidRPr="001F73A7">
        <w:rPr>
          <w:rFonts w:asciiTheme="minorHAnsi" w:hAnsiTheme="minorHAnsi" w:cstheme="minorHAnsi"/>
          <w:sz w:val="22"/>
          <w:szCs w:val="22"/>
        </w:rPr>
        <w:t>The following requirements apply to all program income earned:</w:t>
      </w:r>
    </w:p>
    <w:p w14:paraId="6C035F2E" w14:textId="0C35CAC2" w:rsidR="003341A3" w:rsidRPr="001F73A7" w:rsidRDefault="003341A3" w:rsidP="001F73A7">
      <w:pPr>
        <w:pStyle w:val="DefaultText"/>
        <w:numPr>
          <w:ilvl w:val="0"/>
          <w:numId w:val="19"/>
        </w:numPr>
        <w:spacing w:line="276" w:lineRule="auto"/>
        <w:rPr>
          <w:rFonts w:asciiTheme="minorHAnsi" w:hAnsiTheme="minorHAnsi" w:cstheme="minorHAnsi"/>
          <w:sz w:val="22"/>
          <w:szCs w:val="22"/>
        </w:rPr>
      </w:pPr>
      <w:r w:rsidRPr="001F73A7">
        <w:rPr>
          <w:rFonts w:asciiTheme="minorHAnsi" w:hAnsiTheme="minorHAnsi" w:cstheme="minorHAnsi"/>
          <w:sz w:val="22"/>
          <w:szCs w:val="22"/>
        </w:rPr>
        <w:t>Program income must be used for the same purposes and under the same conditions as the 21</w:t>
      </w:r>
      <w:r w:rsidRPr="001F73A7">
        <w:rPr>
          <w:rFonts w:asciiTheme="minorHAnsi" w:hAnsiTheme="minorHAnsi" w:cstheme="minorHAnsi"/>
          <w:sz w:val="22"/>
          <w:szCs w:val="22"/>
          <w:vertAlign w:val="superscript"/>
        </w:rPr>
        <w:t>st</w:t>
      </w:r>
      <w:r w:rsidRPr="001F73A7">
        <w:rPr>
          <w:rFonts w:asciiTheme="minorHAnsi" w:hAnsiTheme="minorHAnsi" w:cstheme="minorHAnsi"/>
          <w:sz w:val="22"/>
          <w:szCs w:val="22"/>
        </w:rPr>
        <w:t xml:space="preserve"> CCLC subgrant, in accordance with </w:t>
      </w:r>
      <w:proofErr w:type="gramStart"/>
      <w:r w:rsidRPr="001F73A7">
        <w:rPr>
          <w:rFonts w:asciiTheme="minorHAnsi" w:hAnsiTheme="minorHAnsi" w:cstheme="minorHAnsi"/>
          <w:sz w:val="22"/>
          <w:szCs w:val="22"/>
        </w:rPr>
        <w:t>all of</w:t>
      </w:r>
      <w:proofErr w:type="gramEnd"/>
      <w:r w:rsidRPr="001F73A7">
        <w:rPr>
          <w:rFonts w:asciiTheme="minorHAnsi" w:hAnsiTheme="minorHAnsi" w:cstheme="minorHAnsi"/>
          <w:sz w:val="22"/>
          <w:szCs w:val="22"/>
        </w:rPr>
        <w:t xml:space="preserve"> the same applicable statutory and regulatory requirements, and in alignment with the goals, objectives and program design of the original approved application</w:t>
      </w:r>
      <w:r w:rsidR="003827C2" w:rsidRPr="001F73A7">
        <w:rPr>
          <w:rFonts w:asciiTheme="minorHAnsi" w:hAnsiTheme="minorHAnsi" w:cstheme="minorHAnsi"/>
          <w:sz w:val="22"/>
          <w:szCs w:val="22"/>
        </w:rPr>
        <w:t>.</w:t>
      </w:r>
    </w:p>
    <w:p w14:paraId="5867546E" w14:textId="06B01D51" w:rsidR="003341A3" w:rsidRPr="001F73A7" w:rsidRDefault="003341A3" w:rsidP="001F73A7">
      <w:pPr>
        <w:pStyle w:val="DefaultText"/>
        <w:numPr>
          <w:ilvl w:val="0"/>
          <w:numId w:val="19"/>
        </w:numPr>
        <w:spacing w:line="276" w:lineRule="auto"/>
        <w:rPr>
          <w:rFonts w:asciiTheme="minorHAnsi" w:hAnsiTheme="minorHAnsi" w:cstheme="minorHAnsi"/>
          <w:sz w:val="22"/>
          <w:szCs w:val="22"/>
        </w:rPr>
      </w:pPr>
      <w:r w:rsidRPr="001F73A7">
        <w:rPr>
          <w:rFonts w:asciiTheme="minorHAnsi" w:hAnsiTheme="minorHAnsi" w:cstheme="minorHAnsi"/>
          <w:sz w:val="22"/>
          <w:szCs w:val="22"/>
        </w:rPr>
        <w:t>Program income must be used to supplement, enhance, or otherwise improve 21</w:t>
      </w:r>
      <w:r w:rsidRPr="001F73A7">
        <w:rPr>
          <w:rFonts w:asciiTheme="minorHAnsi" w:hAnsiTheme="minorHAnsi" w:cstheme="minorHAnsi"/>
          <w:sz w:val="22"/>
          <w:szCs w:val="22"/>
          <w:vertAlign w:val="superscript"/>
        </w:rPr>
        <w:t>st</w:t>
      </w:r>
      <w:r w:rsidRPr="001F73A7">
        <w:rPr>
          <w:rFonts w:asciiTheme="minorHAnsi" w:hAnsiTheme="minorHAnsi" w:cstheme="minorHAnsi"/>
          <w:sz w:val="22"/>
          <w:szCs w:val="22"/>
        </w:rPr>
        <w:t xml:space="preserve"> CCLC programming for students and families, and not to supplant other funding sources</w:t>
      </w:r>
      <w:r w:rsidR="003827C2" w:rsidRPr="001F73A7">
        <w:rPr>
          <w:rFonts w:asciiTheme="minorHAnsi" w:hAnsiTheme="minorHAnsi" w:cstheme="minorHAnsi"/>
          <w:sz w:val="22"/>
          <w:szCs w:val="22"/>
        </w:rPr>
        <w:t>.</w:t>
      </w:r>
    </w:p>
    <w:p w14:paraId="0F1EEF62" w14:textId="4B5F8CB6" w:rsidR="003341A3" w:rsidRPr="001F73A7" w:rsidRDefault="00A80ECB" w:rsidP="001F73A7">
      <w:pPr>
        <w:pStyle w:val="DefaultText"/>
        <w:numPr>
          <w:ilvl w:val="0"/>
          <w:numId w:val="19"/>
        </w:numPr>
        <w:spacing w:line="276" w:lineRule="auto"/>
        <w:rPr>
          <w:rFonts w:asciiTheme="minorHAnsi" w:hAnsiTheme="minorHAnsi" w:cstheme="minorHAnsi"/>
          <w:sz w:val="22"/>
          <w:szCs w:val="22"/>
        </w:rPr>
      </w:pPr>
      <w:r w:rsidRPr="001F73A7">
        <w:rPr>
          <w:rFonts w:asciiTheme="minorHAnsi" w:hAnsiTheme="minorHAnsi" w:cstheme="minorHAnsi"/>
          <w:sz w:val="22"/>
          <w:szCs w:val="22"/>
        </w:rPr>
        <w:t xml:space="preserve">Program income </w:t>
      </w:r>
      <w:r w:rsidR="003341A3" w:rsidRPr="001F73A7">
        <w:rPr>
          <w:rFonts w:asciiTheme="minorHAnsi" w:hAnsiTheme="minorHAnsi" w:cstheme="minorHAnsi"/>
          <w:sz w:val="22"/>
          <w:szCs w:val="22"/>
        </w:rPr>
        <w:t>must be tracked separately in the subgrantee’s accounting system</w:t>
      </w:r>
      <w:r w:rsidR="003827C2" w:rsidRPr="001F73A7">
        <w:rPr>
          <w:rFonts w:asciiTheme="minorHAnsi" w:hAnsiTheme="minorHAnsi" w:cstheme="minorHAnsi"/>
          <w:sz w:val="22"/>
          <w:szCs w:val="22"/>
        </w:rPr>
        <w:t>.</w:t>
      </w:r>
      <w:r w:rsidR="003341A3" w:rsidRPr="001F73A7">
        <w:rPr>
          <w:rFonts w:asciiTheme="minorHAnsi" w:hAnsiTheme="minorHAnsi" w:cstheme="minorHAnsi"/>
          <w:sz w:val="22"/>
          <w:szCs w:val="22"/>
        </w:rPr>
        <w:t xml:space="preserve"> </w:t>
      </w:r>
    </w:p>
    <w:p w14:paraId="30D239E6" w14:textId="3108ACAA" w:rsidR="003341A3" w:rsidRPr="001F73A7" w:rsidRDefault="003341A3" w:rsidP="001F73A7">
      <w:pPr>
        <w:pStyle w:val="DefaultText"/>
        <w:numPr>
          <w:ilvl w:val="0"/>
          <w:numId w:val="19"/>
        </w:numPr>
        <w:spacing w:line="276" w:lineRule="auto"/>
        <w:rPr>
          <w:rFonts w:asciiTheme="minorHAnsi" w:hAnsiTheme="minorHAnsi" w:cstheme="minorHAnsi"/>
          <w:sz w:val="22"/>
          <w:szCs w:val="22"/>
        </w:rPr>
      </w:pPr>
      <w:r w:rsidRPr="001F73A7">
        <w:rPr>
          <w:rFonts w:asciiTheme="minorHAnsi" w:hAnsiTheme="minorHAnsi" w:cstheme="minorHAnsi"/>
          <w:sz w:val="22"/>
          <w:szCs w:val="22"/>
        </w:rPr>
        <w:t>Program income must be utilized during the subgrant period of performance (i.e.</w:t>
      </w:r>
      <w:r w:rsidR="00FA5532" w:rsidRPr="001F73A7">
        <w:rPr>
          <w:rFonts w:asciiTheme="minorHAnsi" w:hAnsiTheme="minorHAnsi" w:cstheme="minorHAnsi"/>
          <w:sz w:val="22"/>
          <w:szCs w:val="22"/>
        </w:rPr>
        <w:t>,</w:t>
      </w:r>
      <w:r w:rsidRPr="001F73A7">
        <w:rPr>
          <w:rFonts w:asciiTheme="minorHAnsi" w:hAnsiTheme="minorHAnsi" w:cstheme="minorHAnsi"/>
          <w:sz w:val="22"/>
          <w:szCs w:val="22"/>
        </w:rPr>
        <w:t xml:space="preserve"> the state fiscal year)</w:t>
      </w:r>
      <w:r w:rsidR="003827C2" w:rsidRPr="001F73A7">
        <w:rPr>
          <w:rFonts w:asciiTheme="minorHAnsi" w:hAnsiTheme="minorHAnsi" w:cstheme="minorHAnsi"/>
          <w:sz w:val="22"/>
          <w:szCs w:val="22"/>
        </w:rPr>
        <w:t>. Any generated program income must be</w:t>
      </w:r>
      <w:r w:rsidRPr="001F73A7">
        <w:rPr>
          <w:rFonts w:asciiTheme="minorHAnsi" w:hAnsiTheme="minorHAnsi" w:cstheme="minorHAnsi"/>
          <w:sz w:val="22"/>
          <w:szCs w:val="22"/>
        </w:rPr>
        <w:t xml:space="preserve"> </w:t>
      </w:r>
      <w:proofErr w:type="gramStart"/>
      <w:r w:rsidR="003827C2" w:rsidRPr="001F73A7">
        <w:rPr>
          <w:rFonts w:asciiTheme="minorHAnsi" w:hAnsiTheme="minorHAnsi" w:cstheme="minorHAnsi"/>
          <w:sz w:val="22"/>
          <w:szCs w:val="22"/>
        </w:rPr>
        <w:t>spent down</w:t>
      </w:r>
      <w:proofErr w:type="gramEnd"/>
      <w:r w:rsidR="003827C2" w:rsidRPr="001F73A7">
        <w:rPr>
          <w:rFonts w:asciiTheme="minorHAnsi" w:hAnsiTheme="minorHAnsi" w:cstheme="minorHAnsi"/>
          <w:sz w:val="22"/>
          <w:szCs w:val="22"/>
        </w:rPr>
        <w:t xml:space="preserve"> before requesting reimbursement from RIDE for 21st CCLC-related expenses. Program income </w:t>
      </w:r>
      <w:r w:rsidRPr="001F73A7">
        <w:rPr>
          <w:rFonts w:asciiTheme="minorHAnsi" w:hAnsiTheme="minorHAnsi" w:cstheme="minorHAnsi"/>
          <w:sz w:val="22"/>
          <w:szCs w:val="22"/>
        </w:rPr>
        <w:t>may not be carried over to the next fiscal year</w:t>
      </w:r>
      <w:r w:rsidR="003827C2" w:rsidRPr="001F73A7">
        <w:rPr>
          <w:rFonts w:asciiTheme="minorHAnsi" w:hAnsiTheme="minorHAnsi" w:cstheme="minorHAnsi"/>
          <w:sz w:val="22"/>
          <w:szCs w:val="22"/>
        </w:rPr>
        <w:t>.</w:t>
      </w:r>
    </w:p>
    <w:p w14:paraId="591964EF" w14:textId="77777777" w:rsidR="00FA5532" w:rsidRPr="001F73A7" w:rsidRDefault="00FA5532" w:rsidP="001F73A7">
      <w:pPr>
        <w:spacing w:after="0"/>
        <w:rPr>
          <w:rFonts w:eastAsia="Times New Roman" w:cstheme="minorHAnsi"/>
        </w:rPr>
      </w:pPr>
    </w:p>
    <w:p w14:paraId="0E3F68D9" w14:textId="4C00E336" w:rsidR="003341A3" w:rsidRPr="001F73A7" w:rsidRDefault="003341A3" w:rsidP="001F73A7">
      <w:pPr>
        <w:spacing w:after="0"/>
        <w:rPr>
          <w:rFonts w:eastAsia="Times New Roman" w:cstheme="minorHAnsi"/>
        </w:rPr>
      </w:pPr>
      <w:r w:rsidRPr="001F73A7">
        <w:rPr>
          <w:rFonts w:eastAsia="Times New Roman" w:cstheme="minorHAnsi"/>
        </w:rPr>
        <w:t xml:space="preserve">Any generated program income which does not adhere to the above requirements, or for which a subgrantee has not requested prior approval, </w:t>
      </w:r>
      <w:r w:rsidRPr="001F73A7">
        <w:rPr>
          <w:rFonts w:eastAsia="Times New Roman" w:cstheme="minorHAnsi"/>
          <w:b/>
          <w:i/>
        </w:rPr>
        <w:t>will result in a reduction of the federal subgrant award</w:t>
      </w:r>
      <w:r w:rsidRPr="001F73A7">
        <w:rPr>
          <w:rFonts w:eastAsia="Times New Roman" w:cstheme="minorHAnsi"/>
        </w:rPr>
        <w:t xml:space="preserve"> by an amount equal to that of the unapproved income generated.</w:t>
      </w:r>
    </w:p>
    <w:p w14:paraId="49A57842" w14:textId="77777777" w:rsidR="003341A3" w:rsidRPr="001F73A7" w:rsidRDefault="003341A3" w:rsidP="001F73A7">
      <w:pPr>
        <w:pStyle w:val="DefaultText"/>
        <w:spacing w:line="276" w:lineRule="auto"/>
        <w:rPr>
          <w:rFonts w:asciiTheme="minorHAnsi" w:hAnsiTheme="minorHAnsi" w:cstheme="minorHAnsi"/>
          <w:sz w:val="22"/>
          <w:szCs w:val="22"/>
        </w:rPr>
      </w:pPr>
    </w:p>
    <w:p w14:paraId="20B21EE0" w14:textId="75F3EF21" w:rsidR="00FA5532" w:rsidRPr="001F73A7" w:rsidRDefault="00A80ECB" w:rsidP="001F73A7">
      <w:pPr>
        <w:pStyle w:val="DefaultText"/>
        <w:spacing w:line="276" w:lineRule="auto"/>
        <w:rPr>
          <w:rFonts w:asciiTheme="minorHAnsi" w:hAnsiTheme="minorHAnsi" w:cstheme="minorHAnsi"/>
          <w:sz w:val="22"/>
          <w:szCs w:val="22"/>
        </w:rPr>
      </w:pPr>
      <w:bookmarkStart w:id="7" w:name="_Hlk139536127"/>
      <w:r w:rsidRPr="001F73A7">
        <w:rPr>
          <w:rFonts w:asciiTheme="minorHAnsi" w:hAnsiTheme="minorHAnsi" w:cstheme="minorHAnsi"/>
          <w:b/>
          <w:bCs/>
          <w:color w:val="FF0000"/>
          <w:sz w:val="22"/>
          <w:szCs w:val="22"/>
        </w:rPr>
        <w:t xml:space="preserve">New! </w:t>
      </w:r>
      <w:r w:rsidR="00FA5532" w:rsidRPr="001F73A7">
        <w:rPr>
          <w:rFonts w:asciiTheme="minorHAnsi" w:hAnsiTheme="minorHAnsi" w:cstheme="minorHAnsi"/>
          <w:b/>
          <w:bCs/>
          <w:sz w:val="22"/>
          <w:szCs w:val="22"/>
        </w:rPr>
        <w:t>Fees charged to families</w:t>
      </w:r>
      <w:r w:rsidRPr="001F73A7">
        <w:rPr>
          <w:rFonts w:asciiTheme="minorHAnsi" w:hAnsiTheme="minorHAnsi" w:cstheme="minorHAnsi"/>
          <w:b/>
          <w:bCs/>
          <w:sz w:val="22"/>
          <w:szCs w:val="22"/>
        </w:rPr>
        <w:t xml:space="preserve">: </w:t>
      </w:r>
      <w:r w:rsidR="005E7E52" w:rsidRPr="001F73A7">
        <w:rPr>
          <w:rFonts w:asciiTheme="minorHAnsi" w:hAnsiTheme="minorHAnsi" w:cstheme="minorHAnsi"/>
          <w:sz w:val="22"/>
          <w:szCs w:val="22"/>
        </w:rPr>
        <w:t>After June 30, 2024, no 21</w:t>
      </w:r>
      <w:r w:rsidR="005E7E52" w:rsidRPr="001F73A7">
        <w:rPr>
          <w:rFonts w:asciiTheme="minorHAnsi" w:hAnsiTheme="minorHAnsi" w:cstheme="minorHAnsi"/>
          <w:sz w:val="22"/>
          <w:szCs w:val="22"/>
          <w:vertAlign w:val="superscript"/>
        </w:rPr>
        <w:t>st</w:t>
      </w:r>
      <w:r w:rsidR="005E7E52" w:rsidRPr="001F73A7">
        <w:rPr>
          <w:rFonts w:asciiTheme="minorHAnsi" w:hAnsiTheme="minorHAnsi" w:cstheme="minorHAnsi"/>
          <w:sz w:val="22"/>
          <w:szCs w:val="22"/>
        </w:rPr>
        <w:t xml:space="preserve"> Century CLC may charge fees to students or families for participation in any service, activity, or event funded through the 21</w:t>
      </w:r>
      <w:r w:rsidR="005E7E52" w:rsidRPr="001F73A7">
        <w:rPr>
          <w:rFonts w:asciiTheme="minorHAnsi" w:hAnsiTheme="minorHAnsi" w:cstheme="minorHAnsi"/>
          <w:sz w:val="22"/>
          <w:szCs w:val="22"/>
          <w:vertAlign w:val="superscript"/>
        </w:rPr>
        <w:t>st</w:t>
      </w:r>
      <w:r w:rsidR="005E7E52" w:rsidRPr="001F73A7">
        <w:rPr>
          <w:rFonts w:asciiTheme="minorHAnsi" w:hAnsiTheme="minorHAnsi" w:cstheme="minorHAnsi"/>
          <w:sz w:val="22"/>
          <w:szCs w:val="22"/>
        </w:rPr>
        <w:t xml:space="preserve"> CCLC grant. </w:t>
      </w:r>
      <w:r w:rsidRPr="001F73A7">
        <w:rPr>
          <w:rFonts w:asciiTheme="minorHAnsi" w:hAnsiTheme="minorHAnsi" w:cstheme="minorHAnsi"/>
          <w:sz w:val="22"/>
          <w:szCs w:val="22"/>
        </w:rPr>
        <w:t>FY24 is the final year that fees will be allowed</w:t>
      </w:r>
      <w:r w:rsidR="008329C1" w:rsidRPr="001F73A7">
        <w:rPr>
          <w:rFonts w:asciiTheme="minorHAnsi" w:hAnsiTheme="minorHAnsi" w:cstheme="minorHAnsi"/>
          <w:sz w:val="22"/>
          <w:szCs w:val="22"/>
        </w:rPr>
        <w:t xml:space="preserve"> and only for grantees that have previously been charging them. As always, if </w:t>
      </w:r>
      <w:r w:rsidR="00FA5532" w:rsidRPr="001F73A7">
        <w:rPr>
          <w:rFonts w:asciiTheme="minorHAnsi" w:hAnsiTheme="minorHAnsi" w:cstheme="minorHAnsi"/>
          <w:sz w:val="22"/>
          <w:szCs w:val="22"/>
        </w:rPr>
        <w:t>fees are charged, sliding scales and/or scholarships must be provided and under no circumstances may a child be turned away due to inability of their family to pay fees.</w:t>
      </w:r>
      <w:r w:rsidR="008329C1" w:rsidRPr="001F73A7">
        <w:rPr>
          <w:rFonts w:asciiTheme="minorHAnsi" w:hAnsiTheme="minorHAnsi" w:cstheme="minorHAnsi"/>
          <w:sz w:val="22"/>
          <w:szCs w:val="22"/>
        </w:rPr>
        <w:t xml:space="preserve"> </w:t>
      </w:r>
      <w:r w:rsidR="00FA5532" w:rsidRPr="001F73A7">
        <w:rPr>
          <w:rFonts w:asciiTheme="minorHAnsi" w:hAnsiTheme="minorHAnsi" w:cstheme="minorHAnsi"/>
          <w:sz w:val="22"/>
          <w:szCs w:val="22"/>
        </w:rPr>
        <w:t>The availability of sliding scales and/or scholarships must be communicated in a transparent manner to families, so that no child is inadvertently turned away because the family is unaware.</w:t>
      </w:r>
    </w:p>
    <w:bookmarkEnd w:id="7"/>
    <w:p w14:paraId="064380E1" w14:textId="77777777" w:rsidR="00FA5532" w:rsidRPr="001F73A7" w:rsidRDefault="00FA5532" w:rsidP="001F73A7">
      <w:pPr>
        <w:pStyle w:val="DefaultText"/>
        <w:spacing w:line="276" w:lineRule="auto"/>
        <w:rPr>
          <w:rFonts w:asciiTheme="minorHAnsi" w:hAnsiTheme="minorHAnsi" w:cstheme="minorHAnsi"/>
          <w:sz w:val="22"/>
          <w:szCs w:val="22"/>
        </w:rPr>
      </w:pPr>
    </w:p>
    <w:p w14:paraId="614835DC" w14:textId="659C7FD3" w:rsidR="004939E2" w:rsidRPr="001F73A7" w:rsidRDefault="004939E2" w:rsidP="001F73A7">
      <w:pPr>
        <w:spacing w:after="0"/>
      </w:pPr>
      <w:r w:rsidRPr="001F73A7">
        <w:t xml:space="preserve">After the fiscal year is over, you must submit </w:t>
      </w:r>
      <w:r w:rsidR="00D66A11" w:rsidRPr="001F73A7">
        <w:t xml:space="preserve">to RIDE </w:t>
      </w:r>
      <w:r w:rsidRPr="001F73A7">
        <w:t xml:space="preserve">the </w:t>
      </w:r>
      <w:r w:rsidRPr="001F73A7">
        <w:rPr>
          <w:i/>
        </w:rPr>
        <w:t>Annual Program Income Report</w:t>
      </w:r>
      <w:r w:rsidRPr="001F73A7">
        <w:t xml:space="preserve"> form, which </w:t>
      </w:r>
      <w:r w:rsidR="00D66A11" w:rsidRPr="001F73A7">
        <w:t xml:space="preserve">lists </w:t>
      </w:r>
      <w:r w:rsidRPr="001F73A7">
        <w:t xml:space="preserve">the amount of </w:t>
      </w:r>
      <w:r w:rsidR="00D66A11" w:rsidRPr="001F73A7">
        <w:t xml:space="preserve">program income that you earned and how those funds were expended. </w:t>
      </w:r>
    </w:p>
    <w:p w14:paraId="0AAA529C" w14:textId="77777777" w:rsidR="00536C5A" w:rsidRPr="001F73A7" w:rsidRDefault="00536C5A" w:rsidP="001F73A7">
      <w:pPr>
        <w:spacing w:after="0"/>
      </w:pPr>
    </w:p>
    <w:p w14:paraId="3FBFF057" w14:textId="64651C17" w:rsidR="008F12CF" w:rsidRPr="001F73A7" w:rsidRDefault="00536C5A" w:rsidP="001F73A7">
      <w:pPr>
        <w:spacing w:after="0"/>
        <w:rPr>
          <w:rFonts w:eastAsiaTheme="majorEastAsia" w:cstheme="majorBidi"/>
          <w:b/>
          <w:color w:val="365F91" w:themeColor="accent1" w:themeShade="BF"/>
          <w:sz w:val="24"/>
          <w:szCs w:val="26"/>
        </w:rPr>
      </w:pPr>
      <w:bookmarkStart w:id="8" w:name="_Hlk148078088"/>
      <w:bookmarkStart w:id="9" w:name="_Hlk148020792"/>
      <w:r w:rsidRPr="001F73A7">
        <w:rPr>
          <w:b/>
          <w:bCs/>
        </w:rPr>
        <w:t>Childcare programs licensed through the Department of Human Services (DHS) and</w:t>
      </w:r>
      <w:bookmarkStart w:id="10" w:name="_Hlk152490817"/>
      <w:r w:rsidRPr="001F73A7">
        <w:rPr>
          <w:b/>
          <w:bCs/>
        </w:rPr>
        <w:t xml:space="preserve"> </w:t>
      </w:r>
      <w:proofErr w:type="gramStart"/>
      <w:r w:rsidRPr="001F73A7">
        <w:rPr>
          <w:b/>
          <w:bCs/>
        </w:rPr>
        <w:t>Child Care</w:t>
      </w:r>
      <w:proofErr w:type="gramEnd"/>
      <w:r w:rsidRPr="001F73A7">
        <w:rPr>
          <w:b/>
          <w:bCs/>
        </w:rPr>
        <w:t xml:space="preserve"> Assistance Program</w:t>
      </w:r>
      <w:bookmarkEnd w:id="10"/>
      <w:r w:rsidRPr="001F73A7">
        <w:rPr>
          <w:b/>
          <w:bCs/>
        </w:rPr>
        <w:t xml:space="preserve"> (CCAP) reimbursements</w:t>
      </w:r>
      <w:r w:rsidRPr="001F73A7">
        <w:rPr>
          <w:i/>
          <w:iCs/>
        </w:rPr>
        <w:t>:</w:t>
      </w:r>
      <w:r w:rsidRPr="001F73A7">
        <w:t xml:space="preserve"> </w:t>
      </w:r>
      <w:bookmarkStart w:id="11" w:name="_Hlk152490747"/>
      <w:r w:rsidRPr="001F73A7">
        <w:t>While braiding this funding stream with 21</w:t>
      </w:r>
      <w:r w:rsidRPr="001F73A7">
        <w:rPr>
          <w:vertAlign w:val="superscript"/>
        </w:rPr>
        <w:t>st</w:t>
      </w:r>
      <w:r w:rsidRPr="001F73A7">
        <w:t xml:space="preserve"> Century Community Learning Center funding makes sense in theory, in practice it </w:t>
      </w:r>
      <w:r w:rsidR="005E7E52" w:rsidRPr="001F73A7">
        <w:t>can be challenging</w:t>
      </w:r>
      <w:r w:rsidRPr="001F73A7">
        <w:t>. Because fees will no longer be allowed for 21</w:t>
      </w:r>
      <w:r w:rsidRPr="001F73A7">
        <w:rPr>
          <w:vertAlign w:val="superscript"/>
        </w:rPr>
        <w:t>st</w:t>
      </w:r>
      <w:r w:rsidRPr="001F73A7">
        <w:t xml:space="preserve"> CCLC but a fee structure is inherent in the CCAP reimbursement system, for a 21</w:t>
      </w:r>
      <w:r w:rsidRPr="001F73A7">
        <w:rPr>
          <w:vertAlign w:val="superscript"/>
        </w:rPr>
        <w:t>st</w:t>
      </w:r>
      <w:r w:rsidRPr="001F73A7">
        <w:t xml:space="preserve"> CCLC and a licensed childcare site to be co-located, there must be clear fiscal firewalls between the two. </w:t>
      </w:r>
      <w:r w:rsidR="005E7E52" w:rsidRPr="001F73A7">
        <w:t>The two could be run at mutually exclusive times. For example, licensed childcare could be used as aftercare for students who need to stay after the 21</w:t>
      </w:r>
      <w:r w:rsidR="005E7E52" w:rsidRPr="001F73A7">
        <w:rPr>
          <w:vertAlign w:val="superscript"/>
        </w:rPr>
        <w:t>st</w:t>
      </w:r>
      <w:r w:rsidR="005E7E52" w:rsidRPr="001F73A7">
        <w:t xml:space="preserve"> CCLC-funded program ends, provided that the timing or logistics of this do not act as a barrier to participation in 21</w:t>
      </w:r>
      <w:r w:rsidR="005E7E52" w:rsidRPr="001F73A7">
        <w:rPr>
          <w:vertAlign w:val="superscript"/>
        </w:rPr>
        <w:t>st</w:t>
      </w:r>
      <w:r w:rsidR="005E7E52" w:rsidRPr="001F73A7">
        <w:t xml:space="preserve"> CCLC activities. </w:t>
      </w:r>
      <w:r w:rsidRPr="001F73A7">
        <w:t xml:space="preserve">If the two programs are occurring simultaneously, </w:t>
      </w:r>
      <w:r w:rsidR="005E7E52" w:rsidRPr="001F73A7">
        <w:t xml:space="preserve">however, </w:t>
      </w:r>
      <w:r w:rsidRPr="001F73A7">
        <w:t xml:space="preserve">then they must </w:t>
      </w:r>
      <w:r w:rsidR="005E7E52" w:rsidRPr="001F73A7">
        <w:t xml:space="preserve">take place </w:t>
      </w:r>
      <w:r w:rsidRPr="001F73A7">
        <w:t>in separate program spaces with separate staff, using separate supplies, materials, and equipment.</w:t>
      </w:r>
      <w:r w:rsidR="00CF328F" w:rsidRPr="001F73A7">
        <w:t xml:space="preserve"> In this scenario, any program directors or other staff who manage both programs would need to have their salary allocated to each funding source proportionate to the amount of time they spend on each program.</w:t>
      </w:r>
      <w:bookmarkEnd w:id="8"/>
      <w:r w:rsidRPr="001F73A7">
        <w:t xml:space="preserve"> </w:t>
      </w:r>
      <w:bookmarkEnd w:id="9"/>
      <w:bookmarkEnd w:id="11"/>
      <w:r w:rsidR="008F12CF" w:rsidRPr="001F73A7">
        <w:br w:type="page"/>
      </w:r>
    </w:p>
    <w:p w14:paraId="0FB2DF6E" w14:textId="35BF1A5B" w:rsidR="00242C83" w:rsidRPr="001F73A7" w:rsidRDefault="00D878B6" w:rsidP="001F73A7">
      <w:pPr>
        <w:pStyle w:val="Heading1"/>
      </w:pPr>
      <w:r w:rsidRPr="001F73A7">
        <w:lastRenderedPageBreak/>
        <w:t xml:space="preserve">IV. </w:t>
      </w:r>
      <w:r w:rsidR="00242C83" w:rsidRPr="001F73A7">
        <w:t xml:space="preserve">Annual </w:t>
      </w:r>
      <w:r w:rsidRPr="001F73A7">
        <w:t>Fiscal</w:t>
      </w:r>
      <w:r w:rsidR="00242C83" w:rsidRPr="001F73A7">
        <w:t xml:space="preserve"> Cycle</w:t>
      </w:r>
    </w:p>
    <w:p w14:paraId="045FB86D" w14:textId="3A7477A0" w:rsidR="00242C83" w:rsidRPr="001F73A7" w:rsidRDefault="00D878B6" w:rsidP="001F73A7">
      <w:pPr>
        <w:spacing w:after="0"/>
      </w:pPr>
      <w:r w:rsidRPr="001F73A7">
        <w:t>21</w:t>
      </w:r>
      <w:r w:rsidRPr="001F73A7">
        <w:rPr>
          <w:vertAlign w:val="superscript"/>
        </w:rPr>
        <w:t>st</w:t>
      </w:r>
      <w:r w:rsidRPr="001F73A7">
        <w:t xml:space="preserve"> Century Community Learning Center grants in Rhode Island are typically 5-year grants. The program operates </w:t>
      </w:r>
      <w:proofErr w:type="gramStart"/>
      <w:r w:rsidRPr="001F73A7">
        <w:t>on</w:t>
      </w:r>
      <w:proofErr w:type="gramEnd"/>
      <w:r w:rsidRPr="001F73A7">
        <w:t xml:space="preserve"> the state fiscal year which runs from July 1</w:t>
      </w:r>
      <w:r w:rsidRPr="001F73A7">
        <w:rPr>
          <w:vertAlign w:val="superscript"/>
        </w:rPr>
        <w:t>st</w:t>
      </w:r>
      <w:r w:rsidRPr="001F73A7">
        <w:t xml:space="preserve"> through June 30</w:t>
      </w:r>
      <w:r w:rsidRPr="001F73A7">
        <w:rPr>
          <w:vertAlign w:val="superscript"/>
        </w:rPr>
        <w:t>th</w:t>
      </w:r>
      <w:r w:rsidRPr="001F73A7">
        <w:t>.</w:t>
      </w:r>
    </w:p>
    <w:p w14:paraId="6732E62B" w14:textId="094E7ADE" w:rsidR="00242C83" w:rsidRPr="001F73A7" w:rsidRDefault="00242C83" w:rsidP="001F73A7">
      <w:pPr>
        <w:spacing w:after="0"/>
      </w:pPr>
    </w:p>
    <w:p w14:paraId="34CE3F9B" w14:textId="792B61DF" w:rsidR="00D878B6" w:rsidRPr="001F73A7" w:rsidRDefault="00D878B6" w:rsidP="001F73A7">
      <w:pPr>
        <w:pStyle w:val="Heading2"/>
      </w:pPr>
      <w:r w:rsidRPr="001F73A7">
        <w:t>Budget Submission</w:t>
      </w:r>
      <w:r w:rsidR="001F2966" w:rsidRPr="001F73A7">
        <w:t xml:space="preserve"> &amp; Approval</w:t>
      </w:r>
    </w:p>
    <w:p w14:paraId="676AE2FD" w14:textId="0A4C40B0" w:rsidR="00D878B6" w:rsidRPr="001F73A7" w:rsidRDefault="00D878B6" w:rsidP="001F73A7">
      <w:pPr>
        <w:spacing w:after="0"/>
      </w:pPr>
      <w:r w:rsidRPr="001F73A7">
        <w:t xml:space="preserve">The annual process begins in the spring, </w:t>
      </w:r>
      <w:r w:rsidR="001F2966" w:rsidRPr="001F73A7">
        <w:t xml:space="preserve">when </w:t>
      </w:r>
      <w:r w:rsidR="002D63F9" w:rsidRPr="001F73A7">
        <w:t xml:space="preserve">you </w:t>
      </w:r>
      <w:r w:rsidR="001F2966" w:rsidRPr="001F73A7">
        <w:t xml:space="preserve">develop </w:t>
      </w:r>
      <w:r w:rsidR="002D63F9" w:rsidRPr="001F73A7">
        <w:t>you</w:t>
      </w:r>
      <w:r w:rsidR="00103B3D" w:rsidRPr="001F73A7">
        <w:t>r</w:t>
      </w:r>
      <w:r w:rsidR="002D63F9" w:rsidRPr="001F73A7">
        <w:t xml:space="preserve"> </w:t>
      </w:r>
      <w:r w:rsidR="001F2966" w:rsidRPr="001F73A7">
        <w:t xml:space="preserve">budget and submit it along with the budget narrative to RIDE, either as part of the initial application in response to the Request for Proposals (Year 1) or as part of the Annual Plan (Years 2 to 5). In either case, the budget and narrative must be reviewed and approved by both RIDE programmatic </w:t>
      </w:r>
      <w:r w:rsidR="001603D6" w:rsidRPr="001F73A7">
        <w:t xml:space="preserve">staff </w:t>
      </w:r>
      <w:r w:rsidR="001F2966" w:rsidRPr="001F73A7">
        <w:t>and RIDE fiscal staff, who may ask for clarifications or revisions</w:t>
      </w:r>
      <w:r w:rsidR="002D63F9" w:rsidRPr="001F73A7">
        <w:t xml:space="preserve"> to the budget</w:t>
      </w:r>
      <w:r w:rsidR="001F2966" w:rsidRPr="001F73A7">
        <w:t xml:space="preserve">. Once </w:t>
      </w:r>
      <w:proofErr w:type="gramStart"/>
      <w:r w:rsidR="001F2966" w:rsidRPr="001F73A7">
        <w:t xml:space="preserve">any </w:t>
      </w:r>
      <w:r w:rsidR="002D63F9" w:rsidRPr="001F73A7">
        <w:t>and all</w:t>
      </w:r>
      <w:proofErr w:type="gramEnd"/>
      <w:r w:rsidR="002D63F9" w:rsidRPr="001F73A7">
        <w:t xml:space="preserve"> </w:t>
      </w:r>
      <w:r w:rsidR="001F2966" w:rsidRPr="001F73A7">
        <w:t>issues or concerns have been addressed</w:t>
      </w:r>
      <w:r w:rsidR="002D63F9" w:rsidRPr="001F73A7">
        <w:t>, ideally before the start of the new fiscal year</w:t>
      </w:r>
      <w:r w:rsidR="001F2966" w:rsidRPr="001F73A7">
        <w:t>, RIDE</w:t>
      </w:r>
      <w:r w:rsidR="002D63F9" w:rsidRPr="001F73A7">
        <w:t xml:space="preserve"> will notify you that your budget has been approved. Once this has happened, you are allowed to spend funds under the new budget, beginning </w:t>
      </w:r>
      <w:r w:rsidR="00236DCB" w:rsidRPr="001F73A7">
        <w:t>on July 1</w:t>
      </w:r>
      <w:r w:rsidR="00236DCB" w:rsidRPr="001F73A7">
        <w:rPr>
          <w:vertAlign w:val="superscript"/>
        </w:rPr>
        <w:t>st</w:t>
      </w:r>
      <w:r w:rsidR="00236DCB" w:rsidRPr="001F73A7">
        <w:t xml:space="preserve"> or the date that the budget has been approved, whichever is later.</w:t>
      </w:r>
    </w:p>
    <w:p w14:paraId="330BF3F4" w14:textId="6C9A96E1" w:rsidR="00236DCB" w:rsidRPr="001F73A7" w:rsidRDefault="00236DCB" w:rsidP="001F73A7">
      <w:pPr>
        <w:spacing w:after="0"/>
      </w:pPr>
    </w:p>
    <w:p w14:paraId="019B1B45" w14:textId="1F39C7FB" w:rsidR="00236DCB" w:rsidRPr="001F73A7" w:rsidRDefault="00236DCB" w:rsidP="001F73A7">
      <w:pPr>
        <w:spacing w:after="0"/>
      </w:pPr>
      <w:r w:rsidRPr="001F73A7">
        <w:t>If your budget has not been approved before July 1</w:t>
      </w:r>
      <w:r w:rsidRPr="001F73A7">
        <w:rPr>
          <w:vertAlign w:val="superscript"/>
        </w:rPr>
        <w:t>st</w:t>
      </w:r>
      <w:r w:rsidRPr="001F73A7">
        <w:t xml:space="preserve">, you may request a Letter of Substantial Approvability, which essentially says that RIDE staff have performed a preliminary review and </w:t>
      </w:r>
      <w:r w:rsidR="008329C1" w:rsidRPr="001F73A7">
        <w:t xml:space="preserve">did not find </w:t>
      </w:r>
      <w:r w:rsidR="004D3EAD" w:rsidRPr="001F73A7">
        <w:t xml:space="preserve">any </w:t>
      </w:r>
      <w:r w:rsidRPr="001F73A7">
        <w:t>immediate, major concerns or unallowable expenses. This letter allows you to begin spending funds</w:t>
      </w:r>
      <w:r w:rsidR="004D3EAD" w:rsidRPr="001F73A7">
        <w:t>, beginning on July 1</w:t>
      </w:r>
      <w:r w:rsidR="004D3EAD" w:rsidRPr="001F73A7">
        <w:rPr>
          <w:vertAlign w:val="superscript"/>
        </w:rPr>
        <w:t>st</w:t>
      </w:r>
      <w:r w:rsidR="004D3EAD" w:rsidRPr="001F73A7">
        <w:t>, even if the budget has not been fully approved.</w:t>
      </w:r>
    </w:p>
    <w:p w14:paraId="0A930145" w14:textId="3CF1EA7D" w:rsidR="00D878B6" w:rsidRPr="001F73A7" w:rsidRDefault="00D878B6" w:rsidP="001F73A7">
      <w:pPr>
        <w:spacing w:after="0"/>
      </w:pPr>
    </w:p>
    <w:p w14:paraId="27BD8D36" w14:textId="4C5357DA" w:rsidR="00175EF8" w:rsidRPr="001F73A7" w:rsidRDefault="00175EF8" w:rsidP="001F73A7">
      <w:pPr>
        <w:spacing w:after="0"/>
      </w:pPr>
      <w:r w:rsidRPr="001F73A7">
        <w:t xml:space="preserve">It is strongly recommended that you keep a record of RIDE’s budget questions and </w:t>
      </w:r>
      <w:r w:rsidR="003B17DF" w:rsidRPr="001F73A7">
        <w:t xml:space="preserve">revisit them when creating a new budget in </w:t>
      </w:r>
      <w:proofErr w:type="gramStart"/>
      <w:r w:rsidR="003B17DF" w:rsidRPr="001F73A7">
        <w:t>following</w:t>
      </w:r>
      <w:proofErr w:type="gramEnd"/>
      <w:r w:rsidR="003B17DF" w:rsidRPr="001F73A7">
        <w:t xml:space="preserve"> years, to avoid rehashing the same issues again.</w:t>
      </w:r>
    </w:p>
    <w:p w14:paraId="3465B588" w14:textId="77777777" w:rsidR="00175EF8" w:rsidRPr="001F73A7" w:rsidRDefault="00175EF8" w:rsidP="001F73A7">
      <w:pPr>
        <w:spacing w:after="0"/>
      </w:pPr>
    </w:p>
    <w:p w14:paraId="60FB1B47" w14:textId="060662ED" w:rsidR="004D3EAD" w:rsidRPr="001F73A7" w:rsidRDefault="004D3EAD" w:rsidP="001F73A7">
      <w:pPr>
        <w:pStyle w:val="Heading2"/>
      </w:pPr>
      <w:r w:rsidRPr="001F73A7">
        <w:t>Grant Award Notification (GAN)</w:t>
      </w:r>
    </w:p>
    <w:p w14:paraId="1C525F97" w14:textId="286B4B4F" w:rsidR="004D3EAD" w:rsidRPr="001F73A7" w:rsidRDefault="004D3EAD" w:rsidP="001F73A7">
      <w:pPr>
        <w:spacing w:after="0"/>
      </w:pPr>
      <w:r w:rsidRPr="001F73A7">
        <w:t xml:space="preserve">Once your budget has been approved, RIDE will issue a Grant Award Notification. </w:t>
      </w:r>
      <w:r w:rsidR="00C92DFC" w:rsidRPr="001F73A7">
        <w:t xml:space="preserve">Please review the GAN carefully. </w:t>
      </w:r>
      <w:r w:rsidRPr="001F73A7">
        <w:t>This document serves as confirmation that you have the grant, provides official information about the grant, and outlines various terms and conditions</w:t>
      </w:r>
      <w:r w:rsidR="00C92DFC" w:rsidRPr="001F73A7">
        <w:t xml:space="preserve"> that apply.</w:t>
      </w:r>
      <w:r w:rsidRPr="001F73A7">
        <w:t xml:space="preserve"> </w:t>
      </w:r>
    </w:p>
    <w:p w14:paraId="1F29F3CE" w14:textId="77777777" w:rsidR="004D3EAD" w:rsidRPr="001F73A7" w:rsidRDefault="004D3EAD" w:rsidP="001F73A7">
      <w:pPr>
        <w:spacing w:after="0"/>
      </w:pPr>
    </w:p>
    <w:p w14:paraId="483A63A0" w14:textId="26A81A1B" w:rsidR="00242C83" w:rsidRPr="001F73A7" w:rsidRDefault="001602EA" w:rsidP="001F73A7">
      <w:pPr>
        <w:pStyle w:val="Heading2"/>
      </w:pPr>
      <w:r w:rsidRPr="001F73A7">
        <w:t xml:space="preserve">Spending Funds &amp; </w:t>
      </w:r>
      <w:r w:rsidR="00932F32" w:rsidRPr="001F73A7">
        <w:t>Invoicing RIDE</w:t>
      </w:r>
    </w:p>
    <w:p w14:paraId="1923334E" w14:textId="38236439" w:rsidR="00141090" w:rsidRPr="001F73A7" w:rsidRDefault="00141090" w:rsidP="001F73A7">
      <w:pPr>
        <w:spacing w:after="0"/>
      </w:pPr>
      <w:r w:rsidRPr="001F73A7">
        <w:t>Grantees must set up their financial system to track expenditures that are charged to the 21</w:t>
      </w:r>
      <w:r w:rsidRPr="001F73A7">
        <w:rPr>
          <w:vertAlign w:val="superscript"/>
        </w:rPr>
        <w:t>st</w:t>
      </w:r>
      <w:r w:rsidRPr="001F73A7">
        <w:t xml:space="preserve"> CCLC grant separately from other expenses.</w:t>
      </w:r>
    </w:p>
    <w:p w14:paraId="590F5335" w14:textId="77777777" w:rsidR="00141090" w:rsidRPr="001F73A7" w:rsidRDefault="00141090" w:rsidP="001F73A7">
      <w:pPr>
        <w:spacing w:after="0"/>
      </w:pPr>
    </w:p>
    <w:p w14:paraId="6040A795" w14:textId="30C7C80D" w:rsidR="00F9369C" w:rsidRPr="001F73A7" w:rsidRDefault="00C92DFC" w:rsidP="001F73A7">
      <w:pPr>
        <w:spacing w:after="0"/>
        <w:rPr>
          <w:rFonts w:cs="Arial"/>
          <w:szCs w:val="24"/>
        </w:rPr>
      </w:pPr>
      <w:r w:rsidRPr="001F73A7">
        <w:t xml:space="preserve">The grant operates on a reimbursement basis only; RIDE does not prepay any expenses. </w:t>
      </w:r>
      <w:r w:rsidR="00932F32" w:rsidRPr="001F73A7">
        <w:t>Invoicing</w:t>
      </w:r>
      <w:r w:rsidR="00451B71" w:rsidRPr="001F73A7">
        <w:t xml:space="preserve"> should occur at least quarterly but may occur as frequently as weekly. </w:t>
      </w:r>
      <w:r w:rsidR="0082108F" w:rsidRPr="001F73A7">
        <w:t xml:space="preserve">To submit </w:t>
      </w:r>
      <w:r w:rsidR="008329C1" w:rsidRPr="001F73A7">
        <w:t>an invoice</w:t>
      </w:r>
      <w:r w:rsidR="0082108F" w:rsidRPr="001F73A7">
        <w:t>, p</w:t>
      </w:r>
      <w:r w:rsidR="00451B71" w:rsidRPr="001F73A7">
        <w:t xml:space="preserve">lease </w:t>
      </w:r>
      <w:r w:rsidR="0082108F" w:rsidRPr="001F73A7">
        <w:t xml:space="preserve">fill out </w:t>
      </w:r>
      <w:r w:rsidR="00451B71" w:rsidRPr="001F73A7">
        <w:t xml:space="preserve">the </w:t>
      </w:r>
      <w:r w:rsidR="00451B71" w:rsidRPr="001F73A7">
        <w:rPr>
          <w:i/>
        </w:rPr>
        <w:t>Financial Status Report and Cash Reimbursement Form</w:t>
      </w:r>
      <w:r w:rsidR="0082108F" w:rsidRPr="001F73A7">
        <w:t xml:space="preserve"> </w:t>
      </w:r>
      <w:r w:rsidR="00F9369C" w:rsidRPr="001F73A7">
        <w:t xml:space="preserve">(FSR) </w:t>
      </w:r>
      <w:r w:rsidR="0082108F" w:rsidRPr="001F73A7">
        <w:t xml:space="preserve">and submit it to RIDE’s </w:t>
      </w:r>
      <w:r w:rsidR="008329C1" w:rsidRPr="001F73A7">
        <w:t>Office</w:t>
      </w:r>
      <w:r w:rsidR="0082108F" w:rsidRPr="001F73A7">
        <w:t xml:space="preserve"> of Finance. </w:t>
      </w:r>
      <w:bookmarkStart w:id="12" w:name="_Hlk139536417"/>
      <w:r w:rsidR="008329C1" w:rsidRPr="001F73A7">
        <w:t xml:space="preserve">Please note that you must submit this form at least quarterly – even if you did not have any grant expenses. </w:t>
      </w:r>
      <w:bookmarkEnd w:id="12"/>
      <w:r w:rsidR="00F9369C" w:rsidRPr="001F73A7">
        <w:t xml:space="preserve">For the last reimbursement request of the year, there is a separate </w:t>
      </w:r>
      <w:r w:rsidR="00F9369C" w:rsidRPr="001F73A7">
        <w:rPr>
          <w:i/>
        </w:rPr>
        <w:t>Preliminary June 30</w:t>
      </w:r>
      <w:r w:rsidR="00F9369C" w:rsidRPr="001F73A7">
        <w:rPr>
          <w:i/>
          <w:vertAlign w:val="superscript"/>
        </w:rPr>
        <w:t>th</w:t>
      </w:r>
      <w:r w:rsidR="00F9369C" w:rsidRPr="001F73A7">
        <w:rPr>
          <w:i/>
        </w:rPr>
        <w:t xml:space="preserve"> Financial Status Report and Cash Reimbursement Form</w:t>
      </w:r>
      <w:r w:rsidR="00F9369C" w:rsidRPr="001F73A7">
        <w:t xml:space="preserve">, which is typically due </w:t>
      </w:r>
      <w:r w:rsidR="008329C1" w:rsidRPr="001F73A7">
        <w:t xml:space="preserve">about one </w:t>
      </w:r>
      <w:r w:rsidR="00F9369C" w:rsidRPr="001F73A7">
        <w:t>week after the end of the fiscal year</w:t>
      </w:r>
      <w:r w:rsidR="00323182" w:rsidRPr="001F73A7">
        <w:t xml:space="preserve"> which should include </w:t>
      </w:r>
      <w:r w:rsidR="00323182" w:rsidRPr="001F73A7">
        <w:rPr>
          <w:rFonts w:cs="Arial"/>
          <w:szCs w:val="24"/>
        </w:rPr>
        <w:t>all encumbrances and payroll accruals for goods and services received prior to June 30</w:t>
      </w:r>
      <w:r w:rsidR="00323182" w:rsidRPr="001F73A7">
        <w:rPr>
          <w:rFonts w:cs="Arial"/>
          <w:szCs w:val="24"/>
          <w:vertAlign w:val="superscript"/>
        </w:rPr>
        <w:t>th</w:t>
      </w:r>
      <w:r w:rsidR="00323182" w:rsidRPr="001F73A7">
        <w:rPr>
          <w:rFonts w:cs="Arial"/>
          <w:szCs w:val="24"/>
        </w:rPr>
        <w:t xml:space="preserve"> that have not been paid</w:t>
      </w:r>
      <w:r w:rsidR="00F9369C" w:rsidRPr="001F73A7">
        <w:t xml:space="preserve">. A final bill is </w:t>
      </w:r>
      <w:r w:rsidR="00323182" w:rsidRPr="001F73A7">
        <w:t xml:space="preserve">typically </w:t>
      </w:r>
      <w:r w:rsidR="00F9369C" w:rsidRPr="001F73A7">
        <w:t xml:space="preserve">due in </w:t>
      </w:r>
      <w:proofErr w:type="spellStart"/>
      <w:r w:rsidR="008329C1" w:rsidRPr="001F73A7">
        <w:t>mid August</w:t>
      </w:r>
      <w:proofErr w:type="spellEnd"/>
      <w:r w:rsidR="00F9369C" w:rsidRPr="001F73A7">
        <w:t>, using the usual FSR form.</w:t>
      </w:r>
      <w:r w:rsidR="00323182" w:rsidRPr="001F73A7">
        <w:t xml:space="preserve"> The Final Report includes only actual expenditures; encumbrances/accruals must </w:t>
      </w:r>
      <w:r w:rsidR="00323182" w:rsidRPr="001F73A7">
        <w:rPr>
          <w:rFonts w:cs="Arial"/>
          <w:szCs w:val="24"/>
        </w:rPr>
        <w:t>be excluded.</w:t>
      </w:r>
      <w:r w:rsidR="00F9369C" w:rsidRPr="001F73A7">
        <w:rPr>
          <w:rFonts w:cs="Arial"/>
          <w:szCs w:val="24"/>
        </w:rPr>
        <w:t xml:space="preserve"> If you can fully close out with no further encumbrances/accruals by the </w:t>
      </w:r>
      <w:r w:rsidR="008329C1" w:rsidRPr="001F73A7">
        <w:rPr>
          <w:rFonts w:cs="Arial"/>
          <w:szCs w:val="24"/>
        </w:rPr>
        <w:t>P</w:t>
      </w:r>
      <w:r w:rsidR="00F9369C" w:rsidRPr="001F73A7">
        <w:rPr>
          <w:rFonts w:cs="Arial"/>
          <w:szCs w:val="24"/>
        </w:rPr>
        <w:t>reliminary FSR deadline, you can skip the Preliminary FSR and just submit the final one.</w:t>
      </w:r>
    </w:p>
    <w:p w14:paraId="4DCFE8D9" w14:textId="77777777" w:rsidR="00451B71" w:rsidRPr="001F73A7" w:rsidRDefault="00451B71" w:rsidP="001F73A7">
      <w:pPr>
        <w:spacing w:after="0"/>
      </w:pPr>
    </w:p>
    <w:p w14:paraId="030CD349" w14:textId="57177163" w:rsidR="00242C83" w:rsidRPr="001F73A7" w:rsidRDefault="001602EA" w:rsidP="001F73A7">
      <w:pPr>
        <w:spacing w:after="0"/>
      </w:pPr>
      <w:r w:rsidRPr="001F73A7">
        <w:t>Under no circumstances may you charge expenses</w:t>
      </w:r>
      <w:r w:rsidR="00C92DFC" w:rsidRPr="001F73A7">
        <w:t xml:space="preserve"> to </w:t>
      </w:r>
      <w:r w:rsidRPr="001F73A7">
        <w:t xml:space="preserve">the budget </w:t>
      </w:r>
      <w:r w:rsidR="00451B71" w:rsidRPr="001F73A7">
        <w:t xml:space="preserve">that happened outside of </w:t>
      </w:r>
      <w:r w:rsidRPr="001F73A7">
        <w:t>the budget period (i.e.</w:t>
      </w:r>
      <w:r w:rsidR="00932F32" w:rsidRPr="001F73A7">
        <w:t>,</w:t>
      </w:r>
      <w:r w:rsidRPr="001F73A7">
        <w:t xml:space="preserve"> the state fiscal year)</w:t>
      </w:r>
      <w:r w:rsidR="00242C83" w:rsidRPr="001F73A7">
        <w:t>.</w:t>
      </w:r>
      <w:r w:rsidRPr="001F73A7">
        <w:t xml:space="preserve"> </w:t>
      </w:r>
      <w:r w:rsidR="00451B71" w:rsidRPr="001F73A7">
        <w:t>For example, you</w:t>
      </w:r>
      <w:r w:rsidRPr="001F73A7">
        <w:t xml:space="preserve"> should not </w:t>
      </w:r>
      <w:r w:rsidR="00451B71" w:rsidRPr="001F73A7">
        <w:t>charge any salary for an employee’s time worked prior to the start of the fiscal year.</w:t>
      </w:r>
    </w:p>
    <w:p w14:paraId="256B4520" w14:textId="1F47A1A3" w:rsidR="00451B71" w:rsidRPr="001F73A7" w:rsidRDefault="00451B71" w:rsidP="001F73A7">
      <w:pPr>
        <w:spacing w:after="0"/>
      </w:pPr>
    </w:p>
    <w:p w14:paraId="01B92911" w14:textId="3622EC79" w:rsidR="00FF6870" w:rsidRPr="001F73A7" w:rsidRDefault="008329C1" w:rsidP="001F73A7">
      <w:pPr>
        <w:pStyle w:val="Heading2"/>
      </w:pPr>
      <w:r w:rsidRPr="001F73A7">
        <w:lastRenderedPageBreak/>
        <w:t xml:space="preserve">10% </w:t>
      </w:r>
      <w:r w:rsidR="00FF6870" w:rsidRPr="001F73A7">
        <w:t>Flexibility Rule</w:t>
      </w:r>
    </w:p>
    <w:p w14:paraId="01B92912" w14:textId="319C4354" w:rsidR="00FF6870" w:rsidRPr="001F73A7" w:rsidRDefault="00FF6870" w:rsidP="001F73A7">
      <w:pPr>
        <w:spacing w:after="0"/>
      </w:pPr>
      <w:r w:rsidRPr="001F73A7">
        <w:t>In general, you should spend funds according to your RIDE</w:t>
      </w:r>
      <w:r w:rsidR="00250815" w:rsidRPr="001F73A7">
        <w:t>-</w:t>
      </w:r>
      <w:r w:rsidRPr="001F73A7">
        <w:t>approved 21</w:t>
      </w:r>
      <w:r w:rsidRPr="001F73A7">
        <w:rPr>
          <w:vertAlign w:val="superscript"/>
        </w:rPr>
        <w:t>st</w:t>
      </w:r>
      <w:r w:rsidRPr="001F73A7">
        <w:t xml:space="preserve"> Century Community Learning Center grant budget, with drawdowns occurring at least quarterly. You have flexibility to expend funds outside of the approved budget series</w:t>
      </w:r>
      <w:r w:rsidR="00250815" w:rsidRPr="001F73A7">
        <w:t xml:space="preserve"> amounts</w:t>
      </w:r>
      <w:r w:rsidRPr="001F73A7">
        <w:t xml:space="preserve">, if </w:t>
      </w:r>
      <w:proofErr w:type="gramStart"/>
      <w:r w:rsidRPr="001F73A7">
        <w:t>all of</w:t>
      </w:r>
      <w:proofErr w:type="gramEnd"/>
      <w:r w:rsidRPr="001F73A7">
        <w:t xml:space="preserve"> the following</w:t>
      </w:r>
      <w:r w:rsidR="00D52382" w:rsidRPr="001F73A7">
        <w:t xml:space="preserve"> are met</w:t>
      </w:r>
      <w:r w:rsidRPr="001F73A7">
        <w:t>:</w:t>
      </w:r>
    </w:p>
    <w:p w14:paraId="01B92913" w14:textId="4BB48B26" w:rsidR="00FF6870" w:rsidRPr="001F73A7" w:rsidRDefault="00FF6870" w:rsidP="001F73A7">
      <w:pPr>
        <w:pStyle w:val="ListParagraph"/>
        <w:numPr>
          <w:ilvl w:val="0"/>
          <w:numId w:val="9"/>
        </w:numPr>
        <w:spacing w:after="0"/>
        <w:ind w:left="720" w:hanging="360"/>
      </w:pPr>
      <w:r w:rsidRPr="001F73A7">
        <w:t>All expenditure change(s) will not inc</w:t>
      </w:r>
      <w:r w:rsidR="00BE4065" w:rsidRPr="001F73A7">
        <w:t>rease the total approved budget.</w:t>
      </w:r>
    </w:p>
    <w:p w14:paraId="01B92914" w14:textId="23C1179C" w:rsidR="00FF6870" w:rsidRPr="001F73A7" w:rsidRDefault="00FF6870" w:rsidP="001F73A7">
      <w:pPr>
        <w:pStyle w:val="ListParagraph"/>
        <w:numPr>
          <w:ilvl w:val="0"/>
          <w:numId w:val="9"/>
        </w:numPr>
        <w:spacing w:after="0"/>
        <w:ind w:left="720" w:hanging="360"/>
      </w:pPr>
      <w:r w:rsidRPr="001F73A7">
        <w:t>The cumulative change(s) within or among objects of expenditure does not exceed 10</w:t>
      </w:r>
      <w:r w:rsidR="00BE4065" w:rsidRPr="001F73A7">
        <w:t>% of your total approved budget.</w:t>
      </w:r>
    </w:p>
    <w:p w14:paraId="01B92915" w14:textId="3DF95D12" w:rsidR="00FF6870" w:rsidRPr="001F73A7" w:rsidRDefault="00FF6870" w:rsidP="001F73A7">
      <w:pPr>
        <w:pStyle w:val="ListParagraph"/>
        <w:numPr>
          <w:ilvl w:val="0"/>
          <w:numId w:val="9"/>
        </w:numPr>
        <w:spacing w:after="0"/>
        <w:ind w:left="720" w:hanging="360"/>
      </w:pPr>
      <w:r w:rsidRPr="001F73A7">
        <w:t>No spending occurs in a new budget category (i.e.</w:t>
      </w:r>
      <w:r w:rsidR="008329C1" w:rsidRPr="001F73A7">
        <w:t>,</w:t>
      </w:r>
      <w:r w:rsidRPr="001F73A7">
        <w:t xml:space="preserve"> that category was</w:t>
      </w:r>
      <w:r w:rsidR="00BE4065" w:rsidRPr="001F73A7">
        <w:t xml:space="preserve"> $0.00 in your approved budget).</w:t>
      </w:r>
    </w:p>
    <w:p w14:paraId="01B92916" w14:textId="362DE55D" w:rsidR="00FF6870" w:rsidRPr="001F73A7" w:rsidRDefault="00FF6870" w:rsidP="001F73A7">
      <w:pPr>
        <w:pStyle w:val="ListParagraph"/>
        <w:numPr>
          <w:ilvl w:val="0"/>
          <w:numId w:val="9"/>
        </w:numPr>
        <w:spacing w:after="0"/>
        <w:ind w:left="720" w:hanging="360"/>
      </w:pPr>
      <w:r w:rsidRPr="001F73A7">
        <w:t>Equipment is not i</w:t>
      </w:r>
      <w:r w:rsidR="00BE4065" w:rsidRPr="001F73A7">
        <w:t>ncreased by more than $5,000.00.</w:t>
      </w:r>
    </w:p>
    <w:p w14:paraId="01B92917" w14:textId="0ED49D72" w:rsidR="00FF6870" w:rsidRPr="001F73A7" w:rsidRDefault="00FF6870" w:rsidP="001F73A7">
      <w:pPr>
        <w:pStyle w:val="ListParagraph"/>
        <w:numPr>
          <w:ilvl w:val="0"/>
          <w:numId w:val="9"/>
        </w:numPr>
        <w:spacing w:after="0"/>
        <w:ind w:left="720" w:hanging="360"/>
      </w:pPr>
      <w:r w:rsidRPr="001F73A7">
        <w:t xml:space="preserve">The change(s) do not alter the scope, goals, </w:t>
      </w:r>
      <w:r w:rsidR="004939E2" w:rsidRPr="001F73A7">
        <w:t xml:space="preserve">operational or staffing structure, </w:t>
      </w:r>
      <w:r w:rsidRPr="001F73A7">
        <w:t xml:space="preserve">and/or intent of </w:t>
      </w:r>
      <w:r w:rsidR="00BE4065" w:rsidRPr="001F73A7">
        <w:t>the currently approved program.</w:t>
      </w:r>
    </w:p>
    <w:p w14:paraId="01B92918" w14:textId="24040169" w:rsidR="00FF6870" w:rsidRPr="001F73A7" w:rsidRDefault="00FF6870" w:rsidP="001F73A7">
      <w:pPr>
        <w:pStyle w:val="ListParagraph"/>
        <w:numPr>
          <w:ilvl w:val="0"/>
          <w:numId w:val="9"/>
        </w:numPr>
        <w:spacing w:after="0"/>
        <w:ind w:left="720" w:hanging="360"/>
      </w:pPr>
      <w:r w:rsidRPr="001F73A7">
        <w:t xml:space="preserve">There will be no supplanting </w:t>
      </w:r>
      <w:proofErr w:type="gramStart"/>
      <w:r w:rsidRPr="001F73A7">
        <w:t>as a result of</w:t>
      </w:r>
      <w:proofErr w:type="gramEnd"/>
      <w:r w:rsidRPr="001F73A7">
        <w:t xml:space="preserve"> the change(s) (see </w:t>
      </w:r>
      <w:r w:rsidR="00BE4065" w:rsidRPr="001F73A7">
        <w:t>“</w:t>
      </w:r>
      <w:r w:rsidR="00D52382" w:rsidRPr="001F73A7">
        <w:t>S</w:t>
      </w:r>
      <w:r w:rsidRPr="001F73A7">
        <w:t>upplant</w:t>
      </w:r>
      <w:r w:rsidR="00D52382" w:rsidRPr="001F73A7">
        <w:t xml:space="preserve"> not Supplant</w:t>
      </w:r>
      <w:r w:rsidR="00BE4065" w:rsidRPr="001F73A7">
        <w:t>” in Section I</w:t>
      </w:r>
      <w:r w:rsidRPr="001F73A7">
        <w:t>)</w:t>
      </w:r>
      <w:r w:rsidR="00BE4065" w:rsidRPr="001F73A7">
        <w:t>.</w:t>
      </w:r>
    </w:p>
    <w:p w14:paraId="01B92919" w14:textId="362D4579" w:rsidR="00FF6870" w:rsidRPr="001F73A7" w:rsidRDefault="00FF6870" w:rsidP="001F73A7">
      <w:pPr>
        <w:pStyle w:val="ListParagraph"/>
        <w:numPr>
          <w:ilvl w:val="0"/>
          <w:numId w:val="9"/>
        </w:numPr>
        <w:spacing w:after="0"/>
        <w:ind w:left="720" w:hanging="360"/>
      </w:pPr>
      <w:r w:rsidRPr="001F73A7">
        <w:t xml:space="preserve">All changes are allowable and are in compliance with the </w:t>
      </w:r>
      <w:r w:rsidR="00E6409C" w:rsidRPr="001F73A7">
        <w:t>federal Uniform Grant Guidance (</w:t>
      </w:r>
      <w:hyperlink r:id="rId16" w:history="1">
        <w:r w:rsidR="00E6409C" w:rsidRPr="001F73A7">
          <w:rPr>
            <w:rStyle w:val="Hyperlink"/>
            <w:rFonts w:cstheme="minorHAnsi"/>
            <w:color w:val="0A3661"/>
            <w:shd w:val="clear" w:color="auto" w:fill="FFFFFF"/>
          </w:rPr>
          <w:t>2 CFR § 200</w:t>
        </w:r>
      </w:hyperlink>
      <w:r w:rsidR="00E6409C" w:rsidRPr="001F73A7">
        <w:t>)</w:t>
      </w:r>
      <w:r w:rsidRPr="001F73A7">
        <w:t xml:space="preserve"> and 21</w:t>
      </w:r>
      <w:r w:rsidRPr="001F73A7">
        <w:rPr>
          <w:vertAlign w:val="superscript"/>
        </w:rPr>
        <w:t>st</w:t>
      </w:r>
      <w:r w:rsidRPr="001F73A7">
        <w:t xml:space="preserve"> Century Communities laws and regulations. Any change that is later determined not to have been allowable cannot be paid with grant funds.</w:t>
      </w:r>
    </w:p>
    <w:p w14:paraId="01B9291A" w14:textId="22744D10" w:rsidR="00FF6870" w:rsidRPr="001F73A7" w:rsidRDefault="00250815" w:rsidP="001F73A7">
      <w:pPr>
        <w:spacing w:after="0"/>
      </w:pPr>
      <w:r w:rsidRPr="001F73A7">
        <w:t xml:space="preserve">If you </w:t>
      </w:r>
      <w:r w:rsidR="004939E2" w:rsidRPr="001F73A7">
        <w:t xml:space="preserve">seek </w:t>
      </w:r>
      <w:r w:rsidRPr="001F73A7">
        <w:t xml:space="preserve">to make any changes </w:t>
      </w:r>
      <w:r w:rsidR="004939E2" w:rsidRPr="001F73A7">
        <w:t>to your budget outside of these parameters (e.g.</w:t>
      </w:r>
      <w:r w:rsidR="008329C1" w:rsidRPr="001F73A7">
        <w:t>,</w:t>
      </w:r>
      <w:r w:rsidR="004939E2" w:rsidRPr="001F73A7">
        <w:t xml:space="preserve"> you need to move more than 10% of your budget between budget series), then you would need to submit a budget amendment. </w:t>
      </w:r>
    </w:p>
    <w:p w14:paraId="6393C542" w14:textId="77777777" w:rsidR="00250815" w:rsidRPr="001F73A7" w:rsidRDefault="00250815" w:rsidP="001F73A7">
      <w:pPr>
        <w:spacing w:after="0"/>
      </w:pPr>
    </w:p>
    <w:p w14:paraId="01B9291B" w14:textId="3995AC22" w:rsidR="00FF6870" w:rsidRPr="001F73A7" w:rsidRDefault="00FF6870" w:rsidP="001F73A7">
      <w:pPr>
        <w:pStyle w:val="Heading2"/>
      </w:pPr>
      <w:r w:rsidRPr="001F73A7">
        <w:t>Carryover</w:t>
      </w:r>
      <w:r w:rsidR="008329C1" w:rsidRPr="001F73A7">
        <w:t xml:space="preserve"> (15% Maximum)</w:t>
      </w:r>
    </w:p>
    <w:p w14:paraId="6DAB0771" w14:textId="43022DF8" w:rsidR="001F39B8" w:rsidRPr="001F73A7" w:rsidRDefault="00FF6870" w:rsidP="001F73A7">
      <w:pPr>
        <w:spacing w:after="0"/>
      </w:pPr>
      <w:r w:rsidRPr="001F73A7">
        <w:t xml:space="preserve">You should make every effort to spend your funds during the fiscal year. However, you may carry up to 15% of your </w:t>
      </w:r>
      <w:r w:rsidR="00660B9E" w:rsidRPr="001F73A7">
        <w:t xml:space="preserve">initial </w:t>
      </w:r>
      <w:r w:rsidR="00A32575" w:rsidRPr="001F73A7">
        <w:t xml:space="preserve">yearly </w:t>
      </w:r>
      <w:r w:rsidRPr="001F73A7">
        <w:t xml:space="preserve">budget </w:t>
      </w:r>
      <w:r w:rsidR="00660B9E" w:rsidRPr="001F73A7">
        <w:t>(i.e.</w:t>
      </w:r>
      <w:r w:rsidR="003A6761" w:rsidRPr="001F73A7">
        <w:t>,</w:t>
      </w:r>
      <w:r w:rsidR="00660B9E" w:rsidRPr="001F73A7">
        <w:t xml:space="preserve"> not including any carryover) </w:t>
      </w:r>
      <w:r w:rsidRPr="001F73A7">
        <w:t>into the next fiscal year. The one exception is that grants that are in their final year (i.e.</w:t>
      </w:r>
      <w:r w:rsidR="003A6761" w:rsidRPr="001F73A7">
        <w:t>,</w:t>
      </w:r>
      <w:r w:rsidRPr="001F73A7">
        <w:t xml:space="preserve"> Year 5 of 5) may not carry over funds into the next fiscal year. </w:t>
      </w:r>
      <w:r w:rsidR="00C456DE" w:rsidRPr="001F73A7">
        <w:t>If you know that you have carryov</w:t>
      </w:r>
      <w:r w:rsidR="00C55C62" w:rsidRPr="001F73A7">
        <w:t>er, you should plan accordingly</w:t>
      </w:r>
      <w:r w:rsidR="00C456DE" w:rsidRPr="001F73A7">
        <w:t xml:space="preserve"> but please be aware that </w:t>
      </w:r>
      <w:r w:rsidR="00E817F7" w:rsidRPr="001F73A7">
        <w:t>o</w:t>
      </w:r>
      <w:r w:rsidR="00C456DE" w:rsidRPr="001F73A7">
        <w:t>fficial carryover amounts are calculated by RIDE in the fall</w:t>
      </w:r>
      <w:r w:rsidR="00250815" w:rsidRPr="001F73A7">
        <w:t xml:space="preserve"> and that these amounts may vary somewhat from your own calculations</w:t>
      </w:r>
      <w:r w:rsidR="00C456DE" w:rsidRPr="001F73A7">
        <w:t xml:space="preserve">. </w:t>
      </w:r>
      <w:r w:rsidR="00E817F7" w:rsidRPr="001F73A7">
        <w:t>Carryover is not automatically applied to your grant award</w:t>
      </w:r>
      <w:r w:rsidR="00C55C62" w:rsidRPr="001F73A7">
        <w:t>; y</w:t>
      </w:r>
      <w:r w:rsidR="00E817F7" w:rsidRPr="001F73A7">
        <w:t xml:space="preserve">ou must apply for carryover as part of </w:t>
      </w:r>
      <w:r w:rsidR="00250815" w:rsidRPr="001F73A7">
        <w:t>a</w:t>
      </w:r>
      <w:r w:rsidR="00E817F7" w:rsidRPr="001F73A7">
        <w:t xml:space="preserve"> budget amendment process.</w:t>
      </w:r>
    </w:p>
    <w:p w14:paraId="0B5FF47E" w14:textId="39CAD5E6" w:rsidR="004F4252" w:rsidRPr="001F73A7" w:rsidRDefault="004F4252" w:rsidP="001F73A7">
      <w:pPr>
        <w:spacing w:after="0"/>
      </w:pPr>
    </w:p>
    <w:p w14:paraId="357CA342" w14:textId="098FF87E" w:rsidR="00C456DE" w:rsidRPr="001F73A7" w:rsidRDefault="00C456DE" w:rsidP="001F73A7">
      <w:pPr>
        <w:pStyle w:val="Heading2"/>
      </w:pPr>
      <w:r w:rsidRPr="001F73A7">
        <w:t>Budget Amendments</w:t>
      </w:r>
    </w:p>
    <w:p w14:paraId="3EF241F6" w14:textId="48B6E6FF" w:rsidR="001160EA" w:rsidRPr="001F73A7" w:rsidRDefault="00C55C62" w:rsidP="001F73A7">
      <w:pPr>
        <w:spacing w:after="0"/>
      </w:pPr>
      <w:r w:rsidRPr="001F73A7">
        <w:t xml:space="preserve">RIDE typically </w:t>
      </w:r>
      <w:r w:rsidR="00250815" w:rsidRPr="001F73A7">
        <w:t xml:space="preserve">only accepts one </w:t>
      </w:r>
      <w:r w:rsidRPr="001F73A7">
        <w:t xml:space="preserve">budget amendment </w:t>
      </w:r>
      <w:r w:rsidR="00250815" w:rsidRPr="001F73A7">
        <w:t xml:space="preserve">per year which is submitted in January or February, although exceptions are sometimes made on a case-by-case basis. </w:t>
      </w:r>
      <w:r w:rsidR="004939E2" w:rsidRPr="001F73A7">
        <w:t>A budget amendment consists of</w:t>
      </w:r>
      <w:r w:rsidR="00BE4065" w:rsidRPr="001F73A7">
        <w:t>:</w:t>
      </w:r>
      <w:r w:rsidR="004939E2" w:rsidRPr="001F73A7">
        <w:t xml:space="preserve"> </w:t>
      </w:r>
    </w:p>
    <w:p w14:paraId="5250FA6F" w14:textId="53FE576C" w:rsidR="004939E2" w:rsidRPr="001F73A7" w:rsidRDefault="004939E2" w:rsidP="001F73A7">
      <w:pPr>
        <w:pStyle w:val="ListParagraph"/>
        <w:numPr>
          <w:ilvl w:val="0"/>
          <w:numId w:val="22"/>
        </w:numPr>
        <w:spacing w:after="0"/>
      </w:pPr>
      <w:r w:rsidRPr="001F73A7">
        <w:t xml:space="preserve">A revised </w:t>
      </w:r>
      <w:r w:rsidR="00103B3D" w:rsidRPr="001F73A7">
        <w:rPr>
          <w:i/>
        </w:rPr>
        <w:t>B</w:t>
      </w:r>
      <w:r w:rsidRPr="001F73A7">
        <w:rPr>
          <w:i/>
        </w:rPr>
        <w:t>udget</w:t>
      </w:r>
      <w:r w:rsidRPr="001F73A7">
        <w:t xml:space="preserve"> </w:t>
      </w:r>
      <w:proofErr w:type="gramStart"/>
      <w:r w:rsidRPr="001F73A7">
        <w:t>form</w:t>
      </w:r>
      <w:proofErr w:type="gramEnd"/>
    </w:p>
    <w:p w14:paraId="1795AC5F" w14:textId="0E3C9DD6" w:rsidR="004939E2" w:rsidRPr="001F73A7" w:rsidRDefault="004939E2" w:rsidP="001F73A7">
      <w:pPr>
        <w:pStyle w:val="ListParagraph"/>
        <w:numPr>
          <w:ilvl w:val="0"/>
          <w:numId w:val="22"/>
        </w:numPr>
        <w:spacing w:after="0"/>
      </w:pPr>
      <w:r w:rsidRPr="001F73A7">
        <w:t xml:space="preserve">A revised </w:t>
      </w:r>
      <w:r w:rsidR="00103B3D" w:rsidRPr="001F73A7">
        <w:rPr>
          <w:i/>
        </w:rPr>
        <w:t>B</w:t>
      </w:r>
      <w:r w:rsidRPr="001F73A7">
        <w:rPr>
          <w:i/>
        </w:rPr>
        <w:t xml:space="preserve">udget </w:t>
      </w:r>
      <w:r w:rsidR="00103B3D" w:rsidRPr="001F73A7">
        <w:rPr>
          <w:i/>
        </w:rPr>
        <w:t>N</w:t>
      </w:r>
      <w:r w:rsidRPr="001F73A7">
        <w:rPr>
          <w:i/>
        </w:rPr>
        <w:t>arrative</w:t>
      </w:r>
      <w:r w:rsidRPr="001F73A7">
        <w:t xml:space="preserve"> form</w:t>
      </w:r>
    </w:p>
    <w:p w14:paraId="59774A54" w14:textId="626037A2" w:rsidR="004939E2" w:rsidRPr="001F73A7" w:rsidRDefault="004939E2" w:rsidP="001F73A7">
      <w:pPr>
        <w:pStyle w:val="ListParagraph"/>
        <w:numPr>
          <w:ilvl w:val="0"/>
          <w:numId w:val="22"/>
        </w:numPr>
        <w:spacing w:after="0"/>
      </w:pPr>
      <w:r w:rsidRPr="001F73A7">
        <w:t xml:space="preserve">An </w:t>
      </w:r>
      <w:r w:rsidRPr="001F73A7">
        <w:rPr>
          <w:i/>
        </w:rPr>
        <w:t>Increase/Decrease</w:t>
      </w:r>
      <w:r w:rsidRPr="001F73A7">
        <w:t xml:space="preserve"> form, which outlines overall changes in each budget series.</w:t>
      </w:r>
    </w:p>
    <w:p w14:paraId="4A22801E" w14:textId="798A5A94" w:rsidR="004939E2" w:rsidRPr="001F73A7" w:rsidRDefault="004939E2" w:rsidP="001F73A7">
      <w:pPr>
        <w:spacing w:after="0"/>
      </w:pPr>
      <w:r w:rsidRPr="001F73A7">
        <w:t xml:space="preserve">Once you have submitted the budget amendment, it goes through a review and approval process </w:t>
      </w:r>
      <w:proofErr w:type="gramStart"/>
      <w:r w:rsidR="008329C1" w:rsidRPr="001F73A7">
        <w:t>similar to</w:t>
      </w:r>
      <w:proofErr w:type="gramEnd"/>
      <w:r w:rsidR="008329C1" w:rsidRPr="001F73A7">
        <w:t xml:space="preserve"> </w:t>
      </w:r>
      <w:r w:rsidRPr="001F73A7">
        <w:t>your original budget, ending with the creation of a new Grant Award Notification.</w:t>
      </w:r>
    </w:p>
    <w:p w14:paraId="6DC95BAD" w14:textId="77777777" w:rsidR="004939E2" w:rsidRPr="001F73A7" w:rsidRDefault="004939E2" w:rsidP="001F73A7">
      <w:pPr>
        <w:spacing w:after="0"/>
      </w:pPr>
    </w:p>
    <w:p w14:paraId="28FEA853" w14:textId="77777777" w:rsidR="00D66A11" w:rsidRPr="001F73A7" w:rsidRDefault="00D66A11" w:rsidP="001F73A7">
      <w:r w:rsidRPr="001F73A7">
        <w:br w:type="page"/>
      </w:r>
    </w:p>
    <w:p w14:paraId="4CFB89FA" w14:textId="54B2B0C9" w:rsidR="00D66A11" w:rsidRPr="001F73A7" w:rsidRDefault="00D66A11" w:rsidP="001F73A7">
      <w:pPr>
        <w:pStyle w:val="Heading1"/>
      </w:pPr>
      <w:r w:rsidRPr="001F73A7">
        <w:lastRenderedPageBreak/>
        <w:t xml:space="preserve">V. </w:t>
      </w:r>
      <w:r w:rsidR="00323182" w:rsidRPr="001F73A7">
        <w:t>Financial Management</w:t>
      </w:r>
    </w:p>
    <w:p w14:paraId="393705B7" w14:textId="693B2D82" w:rsidR="007D207B" w:rsidRPr="001F73A7" w:rsidRDefault="008329C1" w:rsidP="001F73A7">
      <w:pPr>
        <w:spacing w:after="0"/>
      </w:pPr>
      <w:r w:rsidRPr="001F73A7">
        <w:t>F</w:t>
      </w:r>
      <w:r w:rsidR="007D207B" w:rsidRPr="001F73A7">
        <w:t>ederal guidance places a strong emphasis on establishing</w:t>
      </w:r>
      <w:r w:rsidR="00F55C30" w:rsidRPr="001F73A7">
        <w:t xml:space="preserve"> written</w:t>
      </w:r>
      <w:r w:rsidR="007D207B" w:rsidRPr="001F73A7">
        <w:t xml:space="preserve"> policies and procedures to ensure operational effectiveness and fiscal accountability, reliability, and integrity. </w:t>
      </w:r>
    </w:p>
    <w:p w14:paraId="1DD82DBE" w14:textId="77777777" w:rsidR="00CD6CE5" w:rsidRPr="001F73A7" w:rsidRDefault="00CD6CE5" w:rsidP="001F73A7">
      <w:pPr>
        <w:spacing w:after="0"/>
      </w:pPr>
    </w:p>
    <w:p w14:paraId="5509D2B4" w14:textId="7051FCB1" w:rsidR="001160EA" w:rsidRPr="001F73A7" w:rsidRDefault="008876D3" w:rsidP="001F73A7">
      <w:pPr>
        <w:pStyle w:val="Heading2"/>
      </w:pPr>
      <w:r w:rsidRPr="001F73A7">
        <w:t>Subcontracts</w:t>
      </w:r>
    </w:p>
    <w:p w14:paraId="7BAE00D8" w14:textId="7AD97368" w:rsidR="00AF2A7E" w:rsidRPr="001F73A7" w:rsidRDefault="008876D3" w:rsidP="001F73A7">
      <w:pPr>
        <w:spacing w:after="0"/>
      </w:pPr>
      <w:r w:rsidRPr="001F73A7">
        <w:t>All 21</w:t>
      </w:r>
      <w:r w:rsidRPr="001F73A7">
        <w:rPr>
          <w:vertAlign w:val="superscript"/>
        </w:rPr>
        <w:t>st</w:t>
      </w:r>
      <w:r w:rsidRPr="001F73A7">
        <w:t xml:space="preserve"> CCLC </w:t>
      </w:r>
      <w:r w:rsidR="00343FB2" w:rsidRPr="001F73A7">
        <w:t>sub</w:t>
      </w:r>
      <w:r w:rsidRPr="001F73A7">
        <w:t xml:space="preserve">grantees should have a detailed procurement policy which </w:t>
      </w:r>
      <w:r w:rsidR="00AF2A7E" w:rsidRPr="001F73A7">
        <w:t>outlines</w:t>
      </w:r>
      <w:r w:rsidRPr="001F73A7">
        <w:t xml:space="preserve"> procedures for making purchases of different dollar amounts. The policy should include</w:t>
      </w:r>
      <w:r w:rsidR="00AF2A7E" w:rsidRPr="001F73A7">
        <w:t xml:space="preserve">: </w:t>
      </w:r>
    </w:p>
    <w:p w14:paraId="77CB7BB4" w14:textId="1E4DCBD1" w:rsidR="00441805" w:rsidRPr="001F73A7" w:rsidRDefault="00343FB2" w:rsidP="001F73A7">
      <w:pPr>
        <w:numPr>
          <w:ilvl w:val="0"/>
          <w:numId w:val="18"/>
        </w:numPr>
        <w:spacing w:after="0"/>
        <w:ind w:left="720" w:hanging="360"/>
      </w:pPr>
      <w:r w:rsidRPr="001F73A7">
        <w:t>Threshold d</w:t>
      </w:r>
      <w:r w:rsidR="00441805" w:rsidRPr="001F73A7">
        <w:t>ollar thresholds or other conditions that require different procurement types (e.g.</w:t>
      </w:r>
      <w:r w:rsidR="008329C1" w:rsidRPr="001F73A7">
        <w:t>,</w:t>
      </w:r>
      <w:r w:rsidR="00441805" w:rsidRPr="001F73A7">
        <w:t xml:space="preserve"> items that can be purchased directly, those that require getting quotes, those that should be put out to bid, etc.)</w:t>
      </w:r>
      <w:r w:rsidR="00BE4065" w:rsidRPr="001F73A7">
        <w:t>,</w:t>
      </w:r>
    </w:p>
    <w:p w14:paraId="46C0EEFD" w14:textId="48DF323A" w:rsidR="00AF2A7E" w:rsidRPr="001F73A7" w:rsidRDefault="00441805" w:rsidP="001F73A7">
      <w:pPr>
        <w:numPr>
          <w:ilvl w:val="0"/>
          <w:numId w:val="18"/>
        </w:numPr>
        <w:spacing w:after="0"/>
        <w:ind w:left="720" w:hanging="360"/>
      </w:pPr>
      <w:r w:rsidRPr="001F73A7">
        <w:t>H</w:t>
      </w:r>
      <w:r w:rsidR="00AF2A7E" w:rsidRPr="001F73A7">
        <w:t>ow bids are to be evaluated</w:t>
      </w:r>
      <w:r w:rsidR="00BE4065" w:rsidRPr="001F73A7">
        <w:t>,</w:t>
      </w:r>
    </w:p>
    <w:p w14:paraId="729D41C4" w14:textId="557AAE5C" w:rsidR="00AF2A7E" w:rsidRPr="001F73A7" w:rsidRDefault="00441805" w:rsidP="001F73A7">
      <w:pPr>
        <w:numPr>
          <w:ilvl w:val="0"/>
          <w:numId w:val="18"/>
        </w:numPr>
        <w:spacing w:after="0"/>
        <w:ind w:left="720" w:hanging="360"/>
      </w:pPr>
      <w:r w:rsidRPr="001F73A7">
        <w:t>W</w:t>
      </w:r>
      <w:r w:rsidR="00AF2A7E" w:rsidRPr="001F73A7">
        <w:t>hen/if sole-source contracts are acceptable</w:t>
      </w:r>
      <w:r w:rsidRPr="001F73A7">
        <w:t>,</w:t>
      </w:r>
      <w:r w:rsidR="00AF2A7E" w:rsidRPr="001F73A7">
        <w:t xml:space="preserve"> and </w:t>
      </w:r>
    </w:p>
    <w:p w14:paraId="15F0DE96" w14:textId="772BE2CD" w:rsidR="00AF2A7E" w:rsidRPr="001F73A7" w:rsidRDefault="00441805" w:rsidP="001F73A7">
      <w:pPr>
        <w:numPr>
          <w:ilvl w:val="0"/>
          <w:numId w:val="18"/>
        </w:numPr>
        <w:spacing w:after="0"/>
        <w:ind w:left="720" w:hanging="360"/>
      </w:pPr>
      <w:r w:rsidRPr="001F73A7">
        <w:t>H</w:t>
      </w:r>
      <w:r w:rsidR="00AF2A7E" w:rsidRPr="001F73A7">
        <w:t xml:space="preserve">ow many people and which roles/titles are required to approve contracts and payments. </w:t>
      </w:r>
    </w:p>
    <w:p w14:paraId="189841BA" w14:textId="77777777" w:rsidR="00991E4F" w:rsidRPr="001F73A7" w:rsidRDefault="00991E4F" w:rsidP="001F73A7">
      <w:pPr>
        <w:spacing w:after="0"/>
      </w:pPr>
    </w:p>
    <w:p w14:paraId="51893171" w14:textId="65F87FDC" w:rsidR="008876D3" w:rsidRPr="001F73A7" w:rsidRDefault="00991E4F" w:rsidP="001F73A7">
      <w:pPr>
        <w:spacing w:after="0"/>
      </w:pPr>
      <w:r w:rsidRPr="001F73A7">
        <w:t>Other requirements of procurement policies (e.g.</w:t>
      </w:r>
      <w:r w:rsidR="008329C1" w:rsidRPr="001F73A7">
        <w:t>,</w:t>
      </w:r>
      <w:r w:rsidRPr="001F73A7">
        <w:t xml:space="preserve"> around avoiding real or apparent conflicts of interest, avoiding unnecessary purchases, providing for full and open competition, maintaining proper records, encouraging the use of WMBEs, preferring domestic products, etc.) can be found in the Procurement Standards section of the </w:t>
      </w:r>
      <w:r w:rsidR="00BE4065" w:rsidRPr="001F73A7">
        <w:t xml:space="preserve">federal </w:t>
      </w:r>
      <w:r w:rsidRPr="001F73A7">
        <w:t xml:space="preserve">Uniform Guidance </w:t>
      </w:r>
      <w:r w:rsidR="003A6761" w:rsidRPr="001F73A7">
        <w:t>[</w:t>
      </w:r>
      <w:hyperlink r:id="rId17" w:anchor="200" w:history="1">
        <w:r w:rsidRPr="001F73A7">
          <w:rPr>
            <w:rStyle w:val="Hyperlink"/>
          </w:rPr>
          <w:t xml:space="preserve">2 CFR </w:t>
        </w:r>
        <w:r w:rsidRPr="001F73A7">
          <w:rPr>
            <w:rStyle w:val="Hyperlink"/>
            <w:rFonts w:cstheme="minorHAnsi"/>
          </w:rPr>
          <w:t>§§</w:t>
        </w:r>
        <w:r w:rsidRPr="001F73A7">
          <w:rPr>
            <w:rStyle w:val="Hyperlink"/>
          </w:rPr>
          <w:t>200.317-200.328</w:t>
        </w:r>
      </w:hyperlink>
      <w:r w:rsidR="003A6761" w:rsidRPr="001F73A7">
        <w:t>].</w:t>
      </w:r>
    </w:p>
    <w:p w14:paraId="3729E26A" w14:textId="77777777" w:rsidR="00343FB2" w:rsidRPr="001F73A7" w:rsidRDefault="00343FB2" w:rsidP="001F73A7">
      <w:pPr>
        <w:spacing w:after="0"/>
      </w:pPr>
    </w:p>
    <w:p w14:paraId="48623C3E" w14:textId="6BC7CBBE" w:rsidR="00AF2A7E" w:rsidRPr="001F73A7" w:rsidRDefault="008876D3" w:rsidP="001F73A7">
      <w:pPr>
        <w:spacing w:after="0"/>
      </w:pPr>
      <w:r w:rsidRPr="001F73A7">
        <w:t xml:space="preserve">When </w:t>
      </w:r>
      <w:r w:rsidR="00441805" w:rsidRPr="001F73A7">
        <w:t>external providers are used for 21</w:t>
      </w:r>
      <w:r w:rsidR="00441805" w:rsidRPr="001F73A7">
        <w:rPr>
          <w:vertAlign w:val="superscript"/>
        </w:rPr>
        <w:t>st</w:t>
      </w:r>
      <w:r w:rsidR="00441805" w:rsidRPr="001F73A7">
        <w:t xml:space="preserve"> CCLC program activities, </w:t>
      </w:r>
      <w:r w:rsidRPr="001F73A7">
        <w:t xml:space="preserve">a </w:t>
      </w:r>
      <w:r w:rsidR="00441805" w:rsidRPr="001F73A7">
        <w:t xml:space="preserve">formal </w:t>
      </w:r>
      <w:r w:rsidRPr="001F73A7">
        <w:t>c</w:t>
      </w:r>
      <w:r w:rsidR="00441805" w:rsidRPr="001F73A7">
        <w:t>ontract or memorandum</w:t>
      </w:r>
      <w:r w:rsidR="00AE5EEC" w:rsidRPr="001F73A7">
        <w:t xml:space="preserve"> of understanding/agreement </w:t>
      </w:r>
      <w:r w:rsidR="006B376E" w:rsidRPr="001F73A7">
        <w:t>should be created</w:t>
      </w:r>
      <w:r w:rsidR="00175EF8" w:rsidRPr="001F73A7">
        <w:t xml:space="preserve"> which, for accountability purposes, specifies tasks and/or deliverables to be provided</w:t>
      </w:r>
      <w:r w:rsidR="006B376E" w:rsidRPr="001F73A7">
        <w:t>.</w:t>
      </w:r>
    </w:p>
    <w:p w14:paraId="460FC8A5" w14:textId="77777777" w:rsidR="00441805" w:rsidRPr="001F73A7" w:rsidRDefault="00441805" w:rsidP="001F73A7">
      <w:pPr>
        <w:spacing w:after="0"/>
      </w:pPr>
    </w:p>
    <w:p w14:paraId="183CF22C" w14:textId="008FC0D5" w:rsidR="00AE5EEC" w:rsidRPr="001F73A7" w:rsidRDefault="00343FB2" w:rsidP="001F73A7">
      <w:pPr>
        <w:spacing w:after="0"/>
      </w:pPr>
      <w:r w:rsidRPr="001F73A7">
        <w:t xml:space="preserve">Subgrantees should have a </w:t>
      </w:r>
      <w:r w:rsidR="00175EF8" w:rsidRPr="001F73A7">
        <w:t xml:space="preserve">written </w:t>
      </w:r>
      <w:r w:rsidRPr="001F73A7">
        <w:t>policy to ensure that vendors paid using federal funds are not debarred or suspended, or otherwise excluded from or ineligible for pa</w:t>
      </w:r>
      <w:r w:rsidR="00BE4065" w:rsidRPr="001F73A7">
        <w:t>rticipation in Federal programs.</w:t>
      </w:r>
      <w:r w:rsidRPr="001F73A7">
        <w:t xml:space="preserve"> At a minimum, this should encompass </w:t>
      </w:r>
      <w:r w:rsidR="00BC2A19" w:rsidRPr="001F73A7">
        <w:t xml:space="preserve">contracts </w:t>
      </w:r>
      <w:r w:rsidR="00441805" w:rsidRPr="001F73A7">
        <w:t xml:space="preserve">of </w:t>
      </w:r>
      <w:r w:rsidR="00BC2A19" w:rsidRPr="001F73A7">
        <w:t>$25,000 or more</w:t>
      </w:r>
      <w:r w:rsidRPr="001F73A7">
        <w:t xml:space="preserve">. Please use the </w:t>
      </w:r>
      <w:hyperlink r:id="rId18" w:history="1">
        <w:r w:rsidR="00441805" w:rsidRPr="001F73A7">
          <w:rPr>
            <w:rStyle w:val="Hyperlink"/>
          </w:rPr>
          <w:t>www.sam.gov</w:t>
        </w:r>
      </w:hyperlink>
      <w:r w:rsidR="00441805" w:rsidRPr="001F73A7">
        <w:t xml:space="preserve"> </w:t>
      </w:r>
      <w:r w:rsidRPr="001F73A7">
        <w:t>website for this process</w:t>
      </w:r>
      <w:r w:rsidR="00BC2A19" w:rsidRPr="001F73A7">
        <w:t>.</w:t>
      </w:r>
    </w:p>
    <w:p w14:paraId="70421CE3" w14:textId="77777777" w:rsidR="00141090" w:rsidRPr="001F73A7" w:rsidRDefault="00141090" w:rsidP="001F73A7">
      <w:pPr>
        <w:spacing w:after="0"/>
      </w:pPr>
    </w:p>
    <w:p w14:paraId="7BD418C8" w14:textId="52CFA93C" w:rsidR="00343FB2" w:rsidRPr="001F73A7" w:rsidRDefault="002143B0" w:rsidP="001F73A7">
      <w:pPr>
        <w:pStyle w:val="Heading2"/>
      </w:pPr>
      <w:r w:rsidRPr="001F73A7">
        <w:t>Time and Effort</w:t>
      </w:r>
    </w:p>
    <w:p w14:paraId="7411D6C8" w14:textId="2E2646DE" w:rsidR="002143B0" w:rsidRPr="001F73A7" w:rsidRDefault="00343FB2" w:rsidP="001F73A7">
      <w:pPr>
        <w:spacing w:after="0"/>
      </w:pPr>
      <w:r w:rsidRPr="001F73A7">
        <w:t>F</w:t>
      </w:r>
      <w:r w:rsidR="002143B0" w:rsidRPr="001F73A7">
        <w:t xml:space="preserve">ederal regulations require that </w:t>
      </w:r>
      <w:r w:rsidRPr="001F73A7">
        <w:t>sub</w:t>
      </w:r>
      <w:r w:rsidR="002143B0" w:rsidRPr="001F73A7">
        <w:t>grantee</w:t>
      </w:r>
      <w:r w:rsidRPr="001F73A7">
        <w:t>s</w:t>
      </w:r>
      <w:r w:rsidR="002143B0" w:rsidRPr="001F73A7">
        <w:t xml:space="preserve"> have a system in place to document the percentage of time employees </w:t>
      </w:r>
      <w:proofErr w:type="gramStart"/>
      <w:r w:rsidR="002143B0" w:rsidRPr="001F73A7">
        <w:t>actually work</w:t>
      </w:r>
      <w:proofErr w:type="gramEnd"/>
      <w:r w:rsidR="002143B0" w:rsidRPr="001F73A7">
        <w:t xml:space="preserve"> on any federal grant – as opposed to the percentage of time originally budgeted. </w:t>
      </w:r>
    </w:p>
    <w:p w14:paraId="6B69BECC" w14:textId="77D5DE45" w:rsidR="002143B0" w:rsidRPr="001F73A7" w:rsidRDefault="002143B0" w:rsidP="001F73A7">
      <w:pPr>
        <w:pStyle w:val="ListParagraph"/>
        <w:numPr>
          <w:ilvl w:val="0"/>
          <w:numId w:val="14"/>
        </w:numPr>
        <w:spacing w:after="0"/>
      </w:pPr>
      <w:r w:rsidRPr="001F73A7">
        <w:t xml:space="preserve">For staff </w:t>
      </w:r>
      <w:r w:rsidR="00990A6B" w:rsidRPr="001F73A7">
        <w:t xml:space="preserve">working </w:t>
      </w:r>
      <w:r w:rsidRPr="001F73A7">
        <w:t xml:space="preserve">100% on one </w:t>
      </w:r>
      <w:r w:rsidR="00990A6B" w:rsidRPr="001F73A7">
        <w:t>cost objective (e.g.</w:t>
      </w:r>
      <w:r w:rsidR="008329C1" w:rsidRPr="001F73A7">
        <w:t>,</w:t>
      </w:r>
      <w:r w:rsidR="00990A6B" w:rsidRPr="001F73A7">
        <w:t xml:space="preserve"> working on one </w:t>
      </w:r>
      <w:r w:rsidRPr="001F73A7">
        <w:t>21</w:t>
      </w:r>
      <w:r w:rsidRPr="001F73A7">
        <w:rPr>
          <w:vertAlign w:val="superscript"/>
        </w:rPr>
        <w:t>st</w:t>
      </w:r>
      <w:r w:rsidRPr="001F73A7">
        <w:t xml:space="preserve"> CCLC grant</w:t>
      </w:r>
      <w:r w:rsidR="00990A6B" w:rsidRPr="001F73A7">
        <w:t>)</w:t>
      </w:r>
      <w:r w:rsidRPr="001F73A7">
        <w:t xml:space="preserve">, this can be </w:t>
      </w:r>
      <w:r w:rsidR="00343FB2" w:rsidRPr="001F73A7">
        <w:t>a semi-</w:t>
      </w:r>
      <w:r w:rsidRPr="001F73A7">
        <w:t>annual certification</w:t>
      </w:r>
      <w:r w:rsidR="006F712C" w:rsidRPr="001F73A7">
        <w:t xml:space="preserve"> that 100% of the employee</w:t>
      </w:r>
      <w:r w:rsidR="003B17DF" w:rsidRPr="001F73A7">
        <w:t>’</w:t>
      </w:r>
      <w:r w:rsidR="006F712C" w:rsidRPr="001F73A7">
        <w:t xml:space="preserve">s time was spent on </w:t>
      </w:r>
      <w:r w:rsidR="00990A6B" w:rsidRPr="001F73A7">
        <w:t>that objective</w:t>
      </w:r>
      <w:r w:rsidR="008329C1" w:rsidRPr="001F73A7">
        <w:t>.</w:t>
      </w:r>
    </w:p>
    <w:p w14:paraId="52C999F6" w14:textId="086347DE" w:rsidR="002143B0" w:rsidRPr="001F73A7" w:rsidRDefault="002143B0" w:rsidP="001F73A7">
      <w:pPr>
        <w:pStyle w:val="ListParagraph"/>
        <w:numPr>
          <w:ilvl w:val="0"/>
          <w:numId w:val="14"/>
        </w:numPr>
        <w:spacing w:after="0"/>
      </w:pPr>
      <w:r w:rsidRPr="001F73A7">
        <w:t>For staff split between programs</w:t>
      </w:r>
      <w:r w:rsidR="003B17DF" w:rsidRPr="001F73A7">
        <w:t xml:space="preserve"> </w:t>
      </w:r>
      <w:r w:rsidR="00EA4FB1" w:rsidRPr="001F73A7">
        <w:t>and/</w:t>
      </w:r>
      <w:r w:rsidR="003B17DF" w:rsidRPr="001F73A7">
        <w:t xml:space="preserve">or who are paid in part with </w:t>
      </w:r>
      <w:r w:rsidR="00EA4FB1" w:rsidRPr="001F73A7">
        <w:t>other funds</w:t>
      </w:r>
      <w:r w:rsidRPr="001F73A7">
        <w:t xml:space="preserve">, this </w:t>
      </w:r>
      <w:r w:rsidR="006F712C" w:rsidRPr="001F73A7">
        <w:t xml:space="preserve">could be a timesheet system, indicating the amount of time spent on each program. It could also be </w:t>
      </w:r>
      <w:r w:rsidRPr="001F73A7">
        <w:t xml:space="preserve">a periodic, signed </w:t>
      </w:r>
      <w:r w:rsidR="00EA4FB1" w:rsidRPr="001F73A7">
        <w:t xml:space="preserve">time distribution report </w:t>
      </w:r>
      <w:r w:rsidRPr="001F73A7">
        <w:t>of hours spent on each program.</w:t>
      </w:r>
    </w:p>
    <w:p w14:paraId="5294AEAA" w14:textId="77777777" w:rsidR="00EA4FB1" w:rsidRPr="001F73A7" w:rsidRDefault="00EA4FB1" w:rsidP="001F73A7">
      <w:pPr>
        <w:spacing w:after="0"/>
      </w:pPr>
    </w:p>
    <w:p w14:paraId="1B2443F7" w14:textId="2238B303" w:rsidR="002143B0" w:rsidRPr="001F73A7" w:rsidRDefault="00EA4FB1" w:rsidP="001F73A7">
      <w:pPr>
        <w:spacing w:after="0"/>
      </w:pPr>
      <w:r w:rsidRPr="001F73A7">
        <w:t xml:space="preserve">There should also be a general </w:t>
      </w:r>
      <w:proofErr w:type="gramStart"/>
      <w:r w:rsidR="00BC2A19" w:rsidRPr="001F73A7">
        <w:t>system is</w:t>
      </w:r>
      <w:proofErr w:type="gramEnd"/>
      <w:r w:rsidR="00BC2A19" w:rsidRPr="001F73A7">
        <w:t xml:space="preserve"> in place to track staff attendance.</w:t>
      </w:r>
    </w:p>
    <w:p w14:paraId="1DEE71C3" w14:textId="6C5C8FAF" w:rsidR="001160EA" w:rsidRPr="001F73A7" w:rsidRDefault="001160EA" w:rsidP="001F73A7">
      <w:pPr>
        <w:spacing w:after="0"/>
      </w:pPr>
    </w:p>
    <w:p w14:paraId="0EC5B09C" w14:textId="017E6750" w:rsidR="00EA4FB1" w:rsidRPr="001F73A7" w:rsidRDefault="00EA4FB1" w:rsidP="001F73A7">
      <w:pPr>
        <w:pStyle w:val="Heading2"/>
      </w:pPr>
      <w:r w:rsidRPr="001F73A7">
        <w:t>Property &amp; Equipment</w:t>
      </w:r>
    </w:p>
    <w:p w14:paraId="360122AA" w14:textId="62BCF2DA" w:rsidR="00BC2A19" w:rsidRPr="001F73A7" w:rsidRDefault="0019153E" w:rsidP="001F73A7">
      <w:pPr>
        <w:spacing w:after="0"/>
      </w:pPr>
      <w:r w:rsidRPr="001F73A7">
        <w:t>A policy should be in place to protect fixed assets (i.e.</w:t>
      </w:r>
      <w:r w:rsidR="008329C1" w:rsidRPr="001F73A7">
        <w:t>,</w:t>
      </w:r>
      <w:r w:rsidRPr="001F73A7">
        <w:t xml:space="preserve"> property and equipment) which should include all, non-consumable items, particularly electronics (not just purchases of $5000 or more which is how federal guidance defines </w:t>
      </w:r>
      <w:r w:rsidR="00EA4FB1" w:rsidRPr="001F73A7">
        <w:t>equipment</w:t>
      </w:r>
      <w:r w:rsidRPr="001F73A7">
        <w:t>)</w:t>
      </w:r>
      <w:r w:rsidR="00EA4FB1" w:rsidRPr="001F73A7">
        <w:t xml:space="preserve">. </w:t>
      </w:r>
      <w:r w:rsidRPr="001F73A7">
        <w:t>P</w:t>
      </w:r>
      <w:r w:rsidR="00BC2A19" w:rsidRPr="001F73A7">
        <w:t xml:space="preserve">roperty records </w:t>
      </w:r>
      <w:r w:rsidRPr="001F73A7">
        <w:t>should be</w:t>
      </w:r>
      <w:r w:rsidR="00BC2A19" w:rsidRPr="001F73A7">
        <w:t xml:space="preserve"> maintained </w:t>
      </w:r>
      <w:r w:rsidR="00BE4065" w:rsidRPr="001F73A7">
        <w:t>and should include</w:t>
      </w:r>
      <w:r w:rsidR="00BC2A19" w:rsidRPr="001F73A7">
        <w:t xml:space="preserve"> </w:t>
      </w:r>
      <w:r w:rsidRPr="001F73A7">
        <w:t xml:space="preserve">the </w:t>
      </w:r>
      <w:r w:rsidR="00BC2A19" w:rsidRPr="001F73A7">
        <w:t>description, serial #, source, name on title, acquisition date, cost, percentage of federal funds used, location, use, condition, and disposition data including date and sale price if sold</w:t>
      </w:r>
      <w:r w:rsidRPr="001F73A7">
        <w:t xml:space="preserve">. </w:t>
      </w:r>
      <w:r w:rsidR="00A638CD" w:rsidRPr="001F73A7">
        <w:t>Equipment should be labeled to denote that it was purchased with 21</w:t>
      </w:r>
      <w:r w:rsidR="00A638CD" w:rsidRPr="001F73A7">
        <w:rPr>
          <w:vertAlign w:val="superscript"/>
        </w:rPr>
        <w:t>st</w:t>
      </w:r>
      <w:r w:rsidR="00A638CD" w:rsidRPr="001F73A7">
        <w:t xml:space="preserve"> CCLC funds and is intended exclusively for use by the program – or proportionately, if purchased in part with multiple funding sources. </w:t>
      </w:r>
      <w:r w:rsidR="00BE4065" w:rsidRPr="001F73A7">
        <w:t xml:space="preserve">Equipment </w:t>
      </w:r>
      <w:r w:rsidR="00BE4065" w:rsidRPr="001F73A7">
        <w:lastRenderedPageBreak/>
        <w:t xml:space="preserve">should be stored securely when not in use. </w:t>
      </w:r>
      <w:r w:rsidR="00A638CD" w:rsidRPr="001F73A7">
        <w:t xml:space="preserve">Physical </w:t>
      </w:r>
      <w:r w:rsidR="00BC2A19" w:rsidRPr="001F73A7">
        <w:t xml:space="preserve">inventories </w:t>
      </w:r>
      <w:r w:rsidR="00BE4065" w:rsidRPr="001F73A7">
        <w:t xml:space="preserve">of program equipment </w:t>
      </w:r>
      <w:r w:rsidR="00A638CD" w:rsidRPr="001F73A7">
        <w:t xml:space="preserve">should be </w:t>
      </w:r>
      <w:r w:rsidR="00BC2A19" w:rsidRPr="001F73A7">
        <w:t>conducted at least bi-annually, and preferably annually.</w:t>
      </w:r>
    </w:p>
    <w:p w14:paraId="6A1BD404" w14:textId="2FD89B4E" w:rsidR="00343FB2" w:rsidRPr="001F73A7" w:rsidRDefault="00343FB2" w:rsidP="001F73A7">
      <w:pPr>
        <w:spacing w:after="0"/>
      </w:pPr>
    </w:p>
    <w:p w14:paraId="23CAC1A6" w14:textId="7B86F9E8" w:rsidR="00A638CD" w:rsidRPr="001F73A7" w:rsidRDefault="00A638CD" w:rsidP="001F73A7">
      <w:pPr>
        <w:pStyle w:val="Heading2"/>
      </w:pPr>
      <w:r w:rsidRPr="001F73A7">
        <w:t>Other Policies</w:t>
      </w:r>
    </w:p>
    <w:p w14:paraId="042E313F" w14:textId="558AF7D3" w:rsidR="00A638CD" w:rsidRPr="001F73A7" w:rsidRDefault="00A638CD" w:rsidP="001F73A7">
      <w:pPr>
        <w:spacing w:after="0"/>
      </w:pPr>
      <w:r w:rsidRPr="001F73A7">
        <w:t>Other fiscal policies that should be in place includ</w:t>
      </w:r>
      <w:r w:rsidR="00990A6B" w:rsidRPr="001F73A7">
        <w:t>ing</w:t>
      </w:r>
      <w:r w:rsidR="00BE4065" w:rsidRPr="001F73A7">
        <w:t>, but not limited to:</w:t>
      </w:r>
    </w:p>
    <w:p w14:paraId="0EDFDF38" w14:textId="4F522ED8" w:rsidR="00A638CD" w:rsidRPr="001F73A7" w:rsidRDefault="00990A6B" w:rsidP="001F73A7">
      <w:pPr>
        <w:pStyle w:val="ListParagraph"/>
        <w:numPr>
          <w:ilvl w:val="0"/>
          <w:numId w:val="27"/>
        </w:numPr>
        <w:spacing w:after="0"/>
      </w:pPr>
      <w:r w:rsidRPr="001F73A7">
        <w:t>Establishing and maintaining i</w:t>
      </w:r>
      <w:r w:rsidR="00A638CD" w:rsidRPr="001F73A7">
        <w:t>nternal controls over federal grant</w:t>
      </w:r>
      <w:r w:rsidRPr="001F73A7">
        <w:t>s</w:t>
      </w:r>
      <w:r w:rsidR="00BE4065" w:rsidRPr="001F73A7">
        <w:t>,</w:t>
      </w:r>
      <w:r w:rsidR="00A638CD" w:rsidRPr="001F73A7">
        <w:t xml:space="preserve"> </w:t>
      </w:r>
    </w:p>
    <w:p w14:paraId="30750E71" w14:textId="1EDC0277" w:rsidR="00A638CD" w:rsidRPr="001F73A7" w:rsidRDefault="00990A6B" w:rsidP="001F73A7">
      <w:pPr>
        <w:pStyle w:val="ListParagraph"/>
        <w:numPr>
          <w:ilvl w:val="0"/>
          <w:numId w:val="27"/>
        </w:numPr>
        <w:spacing w:after="0"/>
      </w:pPr>
      <w:r w:rsidRPr="001F73A7">
        <w:t>Retaining f</w:t>
      </w:r>
      <w:r w:rsidR="00A638CD" w:rsidRPr="001F73A7">
        <w:t>inancial and programmatic records</w:t>
      </w:r>
      <w:r w:rsidR="00BE4065" w:rsidRPr="001F73A7">
        <w:t>,</w:t>
      </w:r>
      <w:r w:rsidR="00A638CD" w:rsidRPr="001F73A7">
        <w:t xml:space="preserve"> </w:t>
      </w:r>
    </w:p>
    <w:p w14:paraId="6BA37F1C" w14:textId="79575B94" w:rsidR="00990A6B" w:rsidRPr="001F73A7" w:rsidRDefault="00990A6B" w:rsidP="001F73A7">
      <w:pPr>
        <w:pStyle w:val="ListParagraph"/>
        <w:numPr>
          <w:ilvl w:val="0"/>
          <w:numId w:val="27"/>
        </w:numPr>
        <w:spacing w:after="0"/>
      </w:pPr>
      <w:r w:rsidRPr="001F73A7">
        <w:t>Evaluating and monitoring compliance with federal statutes and regulations and the terms of federal grant awards</w:t>
      </w:r>
      <w:r w:rsidR="00BE4065" w:rsidRPr="001F73A7">
        <w:t>,</w:t>
      </w:r>
    </w:p>
    <w:p w14:paraId="51FADF0F" w14:textId="7F5F07E9" w:rsidR="00990A6B" w:rsidRPr="001F73A7" w:rsidRDefault="00990A6B" w:rsidP="001F73A7">
      <w:pPr>
        <w:pStyle w:val="ListParagraph"/>
        <w:numPr>
          <w:ilvl w:val="0"/>
          <w:numId w:val="27"/>
        </w:numPr>
        <w:spacing w:after="0"/>
      </w:pPr>
      <w:r w:rsidRPr="001F73A7">
        <w:t>Taking prompt action when instances of noncompliance are identified</w:t>
      </w:r>
      <w:r w:rsidR="00BE4065" w:rsidRPr="001F73A7">
        <w:t>, and</w:t>
      </w:r>
    </w:p>
    <w:p w14:paraId="4DD1F814" w14:textId="7BBF7DF0" w:rsidR="00A638CD" w:rsidRPr="001F73A7" w:rsidRDefault="00990A6B" w:rsidP="001F73A7">
      <w:pPr>
        <w:pStyle w:val="ListParagraph"/>
        <w:numPr>
          <w:ilvl w:val="0"/>
          <w:numId w:val="27"/>
        </w:numPr>
        <w:spacing w:after="0"/>
      </w:pPr>
      <w:r w:rsidRPr="001F73A7">
        <w:t>Safeguarding protected personally identifiable or other sensitive information</w:t>
      </w:r>
      <w:r w:rsidR="00BE4065" w:rsidRPr="001F73A7">
        <w:t>.</w:t>
      </w:r>
    </w:p>
    <w:p w14:paraId="5BB1D945" w14:textId="199FDD27" w:rsidR="00A638CD" w:rsidRPr="001F73A7" w:rsidRDefault="00A638CD" w:rsidP="001F73A7">
      <w:pPr>
        <w:spacing w:after="0"/>
      </w:pPr>
    </w:p>
    <w:p w14:paraId="34731806" w14:textId="48A15D23" w:rsidR="00343FB2" w:rsidRPr="001F73A7" w:rsidRDefault="00343FB2" w:rsidP="001F73A7">
      <w:pPr>
        <w:pStyle w:val="Heading2"/>
      </w:pPr>
      <w:r w:rsidRPr="001F73A7">
        <w:t>Audit</w:t>
      </w:r>
      <w:r w:rsidR="00A638CD" w:rsidRPr="001F73A7">
        <w:t>s</w:t>
      </w:r>
    </w:p>
    <w:p w14:paraId="787826BD" w14:textId="3C2E5EDE" w:rsidR="00343FB2" w:rsidRPr="00CE13C7" w:rsidRDefault="00AA4960" w:rsidP="001F73A7">
      <w:pPr>
        <w:spacing w:after="0"/>
      </w:pPr>
      <w:hyperlink r:id="rId19" w:history="1">
        <w:r w:rsidR="00990A6B" w:rsidRPr="001F73A7">
          <w:rPr>
            <w:rStyle w:val="Hyperlink"/>
          </w:rPr>
          <w:t>Uniform Guidance, Part 200</w:t>
        </w:r>
        <w:r w:rsidR="00BE4065" w:rsidRPr="001F73A7">
          <w:rPr>
            <w:rStyle w:val="Hyperlink"/>
          </w:rPr>
          <w:t>,</w:t>
        </w:r>
        <w:r w:rsidR="00990A6B" w:rsidRPr="001F73A7">
          <w:rPr>
            <w:rStyle w:val="Hyperlink"/>
          </w:rPr>
          <w:t xml:space="preserve"> Subpart F</w:t>
        </w:r>
      </w:hyperlink>
      <w:r w:rsidR="00990A6B" w:rsidRPr="001F73A7">
        <w:t xml:space="preserve"> requires that </w:t>
      </w:r>
      <w:r w:rsidR="003A334D" w:rsidRPr="001F73A7">
        <w:t xml:space="preserve">subgrantee </w:t>
      </w:r>
      <w:r w:rsidR="00990A6B" w:rsidRPr="001F73A7">
        <w:t>organization</w:t>
      </w:r>
      <w:r w:rsidR="003A334D" w:rsidRPr="001F73A7">
        <w:t>s</w:t>
      </w:r>
      <w:r w:rsidR="00990A6B" w:rsidRPr="001F73A7">
        <w:t xml:space="preserve"> have a federal compliance Subpart F audit performed if more than $750,000 in Federal funds was spent during the fiscal year</w:t>
      </w:r>
      <w:r w:rsidR="003A6761" w:rsidRPr="001F73A7">
        <w:t xml:space="preserve"> [2 CFR </w:t>
      </w:r>
      <w:r w:rsidR="003A6761" w:rsidRPr="001F73A7">
        <w:rPr>
          <w:rFonts w:cstheme="minorHAnsi"/>
        </w:rPr>
        <w:t>§</w:t>
      </w:r>
      <w:r w:rsidR="003A6761" w:rsidRPr="001F73A7">
        <w:t>200.425(a)(2)]</w:t>
      </w:r>
      <w:r w:rsidR="00990A6B" w:rsidRPr="001F73A7">
        <w:t xml:space="preserve">. </w:t>
      </w:r>
      <w:r w:rsidR="003A334D" w:rsidRPr="001F73A7">
        <w:t xml:space="preserve">It also </w:t>
      </w:r>
      <w:r w:rsidR="00990A6B" w:rsidRPr="001F73A7">
        <w:t>requires that the Single Audit be submitted to the Federal Clearinghouse either 30 days after receiving the audit report or nine months after the end of the entity’s fiscal year, whichever comes earlier, unless an extension has been granted by a cognizant agency before this deadline</w:t>
      </w:r>
      <w:r w:rsidR="003A334D" w:rsidRPr="001F73A7">
        <w:t>.</w:t>
      </w:r>
    </w:p>
    <w:sectPr w:rsidR="00343FB2" w:rsidRPr="00CE13C7" w:rsidSect="00D523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928"/>
    <w:multiLevelType w:val="hybridMultilevel"/>
    <w:tmpl w:val="B2D05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F3198"/>
    <w:multiLevelType w:val="hybridMultilevel"/>
    <w:tmpl w:val="B538C708"/>
    <w:lvl w:ilvl="0" w:tplc="E3F26FF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1DB"/>
    <w:multiLevelType w:val="hybridMultilevel"/>
    <w:tmpl w:val="1D8623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3543A"/>
    <w:multiLevelType w:val="hybridMultilevel"/>
    <w:tmpl w:val="DBF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446A1"/>
    <w:multiLevelType w:val="hybridMultilevel"/>
    <w:tmpl w:val="A10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706E8"/>
    <w:multiLevelType w:val="hybridMultilevel"/>
    <w:tmpl w:val="48B24D5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22875BFE"/>
    <w:multiLevelType w:val="hybridMultilevel"/>
    <w:tmpl w:val="F066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762CB"/>
    <w:multiLevelType w:val="hybridMultilevel"/>
    <w:tmpl w:val="9998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65DB8"/>
    <w:multiLevelType w:val="hybridMultilevel"/>
    <w:tmpl w:val="18CA75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7AA5BA7"/>
    <w:multiLevelType w:val="hybridMultilevel"/>
    <w:tmpl w:val="75C68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E70D9B"/>
    <w:multiLevelType w:val="hybridMultilevel"/>
    <w:tmpl w:val="1C44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163"/>
    <w:multiLevelType w:val="hybridMultilevel"/>
    <w:tmpl w:val="F0D6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41BCB"/>
    <w:multiLevelType w:val="hybridMultilevel"/>
    <w:tmpl w:val="CB482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B56D82"/>
    <w:multiLevelType w:val="hybridMultilevel"/>
    <w:tmpl w:val="C084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A11DF"/>
    <w:multiLevelType w:val="hybridMultilevel"/>
    <w:tmpl w:val="B2D05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60101"/>
    <w:multiLevelType w:val="hybridMultilevel"/>
    <w:tmpl w:val="7E0E5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2C64A8"/>
    <w:multiLevelType w:val="hybridMultilevel"/>
    <w:tmpl w:val="8ECC89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AA047FD"/>
    <w:multiLevelType w:val="multilevel"/>
    <w:tmpl w:val="D716E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845A9B"/>
    <w:multiLevelType w:val="hybridMultilevel"/>
    <w:tmpl w:val="7CFC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716AF"/>
    <w:multiLevelType w:val="hybridMultilevel"/>
    <w:tmpl w:val="5C548DB4"/>
    <w:lvl w:ilvl="0" w:tplc="117AC14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82757"/>
    <w:multiLevelType w:val="hybridMultilevel"/>
    <w:tmpl w:val="CC94DAE8"/>
    <w:lvl w:ilvl="0" w:tplc="7144E056">
      <w:start w:val="1"/>
      <w:numFmt w:val="decimal"/>
      <w:lvlText w:val="%1."/>
      <w:lvlJc w:val="left"/>
      <w:pPr>
        <w:tabs>
          <w:tab w:val="num" w:pos="720"/>
        </w:tabs>
        <w:ind w:left="720" w:hanging="360"/>
      </w:pPr>
      <w:rPr>
        <w:rFonts w:cs="Times New Roman"/>
      </w:rPr>
    </w:lvl>
    <w:lvl w:ilvl="1" w:tplc="F1DAD7C6">
      <w:start w:val="1"/>
      <w:numFmt w:val="decimal"/>
      <w:lvlText w:val="%2."/>
      <w:lvlJc w:val="left"/>
      <w:pPr>
        <w:tabs>
          <w:tab w:val="num" w:pos="1440"/>
        </w:tabs>
        <w:ind w:left="1440" w:hanging="360"/>
      </w:pPr>
      <w:rPr>
        <w:rFonts w:cs="Times New Roman"/>
      </w:rPr>
    </w:lvl>
    <w:lvl w:ilvl="2" w:tplc="6780208E">
      <w:start w:val="1"/>
      <w:numFmt w:val="decimal"/>
      <w:lvlText w:val="%3."/>
      <w:lvlJc w:val="left"/>
      <w:pPr>
        <w:tabs>
          <w:tab w:val="num" w:pos="2160"/>
        </w:tabs>
        <w:ind w:left="2160" w:hanging="360"/>
      </w:pPr>
      <w:rPr>
        <w:rFonts w:cs="Times New Roman"/>
      </w:rPr>
    </w:lvl>
    <w:lvl w:ilvl="3" w:tplc="64DE0824">
      <w:start w:val="1"/>
      <w:numFmt w:val="decimal"/>
      <w:lvlText w:val="%4."/>
      <w:lvlJc w:val="left"/>
      <w:pPr>
        <w:tabs>
          <w:tab w:val="num" w:pos="2880"/>
        </w:tabs>
        <w:ind w:left="2880" w:hanging="360"/>
      </w:pPr>
      <w:rPr>
        <w:rFonts w:cs="Times New Roman"/>
      </w:rPr>
    </w:lvl>
    <w:lvl w:ilvl="4" w:tplc="C87CCAC4">
      <w:start w:val="1"/>
      <w:numFmt w:val="decimal"/>
      <w:lvlText w:val="%5."/>
      <w:lvlJc w:val="left"/>
      <w:pPr>
        <w:tabs>
          <w:tab w:val="num" w:pos="3600"/>
        </w:tabs>
        <w:ind w:left="3600" w:hanging="360"/>
      </w:pPr>
      <w:rPr>
        <w:rFonts w:cs="Times New Roman"/>
      </w:rPr>
    </w:lvl>
    <w:lvl w:ilvl="5" w:tplc="5450DC38">
      <w:start w:val="1"/>
      <w:numFmt w:val="decimal"/>
      <w:lvlText w:val="%6."/>
      <w:lvlJc w:val="left"/>
      <w:pPr>
        <w:tabs>
          <w:tab w:val="num" w:pos="4320"/>
        </w:tabs>
        <w:ind w:left="4320" w:hanging="360"/>
      </w:pPr>
      <w:rPr>
        <w:rFonts w:cs="Times New Roman"/>
      </w:rPr>
    </w:lvl>
    <w:lvl w:ilvl="6" w:tplc="F424B234">
      <w:start w:val="1"/>
      <w:numFmt w:val="decimal"/>
      <w:lvlText w:val="%7."/>
      <w:lvlJc w:val="left"/>
      <w:pPr>
        <w:tabs>
          <w:tab w:val="num" w:pos="5040"/>
        </w:tabs>
        <w:ind w:left="5040" w:hanging="360"/>
      </w:pPr>
      <w:rPr>
        <w:rFonts w:cs="Times New Roman"/>
      </w:rPr>
    </w:lvl>
    <w:lvl w:ilvl="7" w:tplc="E0B2954E">
      <w:start w:val="1"/>
      <w:numFmt w:val="decimal"/>
      <w:lvlText w:val="%8."/>
      <w:lvlJc w:val="left"/>
      <w:pPr>
        <w:tabs>
          <w:tab w:val="num" w:pos="5760"/>
        </w:tabs>
        <w:ind w:left="5760" w:hanging="360"/>
      </w:pPr>
      <w:rPr>
        <w:rFonts w:cs="Times New Roman"/>
      </w:rPr>
    </w:lvl>
    <w:lvl w:ilvl="8" w:tplc="686C739E">
      <w:start w:val="1"/>
      <w:numFmt w:val="decimal"/>
      <w:lvlText w:val="%9."/>
      <w:lvlJc w:val="left"/>
      <w:pPr>
        <w:tabs>
          <w:tab w:val="num" w:pos="6480"/>
        </w:tabs>
        <w:ind w:left="6480" w:hanging="360"/>
      </w:pPr>
      <w:rPr>
        <w:rFonts w:cs="Times New Roman"/>
      </w:rPr>
    </w:lvl>
  </w:abstractNum>
  <w:abstractNum w:abstractNumId="21" w15:restartNumberingAfterBreak="0">
    <w:nsid w:val="4BCD29E6"/>
    <w:multiLevelType w:val="hybridMultilevel"/>
    <w:tmpl w:val="4910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3718A5"/>
    <w:multiLevelType w:val="multilevel"/>
    <w:tmpl w:val="344E0804"/>
    <w:lvl w:ilvl="0">
      <w:start w:val="1"/>
      <w:numFmt w:val="lowerLetter"/>
      <w:lvlText w:val="%1."/>
      <w:lvlJc w:val="left"/>
      <w:pPr>
        <w:ind w:left="0" w:firstLine="1080"/>
      </w:pPr>
    </w:lvl>
    <w:lvl w:ilvl="1">
      <w:start w:val="1"/>
      <w:numFmt w:val="lowerLetter"/>
      <w:lvlText w:val="%2)"/>
      <w:lvlJc w:val="left"/>
      <w:pPr>
        <w:ind w:left="720" w:firstLine="1800"/>
      </w:pPr>
    </w:lvl>
    <w:lvl w:ilvl="2">
      <w:start w:val="1"/>
      <w:numFmt w:val="lowerRoman"/>
      <w:lvlText w:val="%3."/>
      <w:lvlJc w:val="right"/>
      <w:pPr>
        <w:ind w:left="1440" w:firstLine="2520"/>
      </w:pPr>
      <w:rPr>
        <w:rFonts w:ascii="Arial" w:eastAsia="Arial" w:hAnsi="Arial" w:cs="Arial"/>
      </w:rPr>
    </w:lvl>
    <w:lvl w:ilvl="3">
      <w:start w:val="1"/>
      <w:numFmt w:val="decimal"/>
      <w:lvlText w:val="%4."/>
      <w:lvlJc w:val="left"/>
      <w:pPr>
        <w:ind w:left="2160" w:firstLine="3240"/>
      </w:pPr>
      <w:rPr>
        <w:rFonts w:ascii="Arial" w:eastAsia="Arial" w:hAnsi="Arial" w:cs="Arial"/>
      </w:rPr>
    </w:lvl>
    <w:lvl w:ilvl="4">
      <w:start w:val="1"/>
      <w:numFmt w:val="lowerLetter"/>
      <w:lvlText w:val="%5."/>
      <w:lvlJc w:val="left"/>
      <w:pPr>
        <w:ind w:left="2880" w:firstLine="3960"/>
      </w:pPr>
      <w:rPr>
        <w:rFonts w:ascii="Arial" w:eastAsia="Arial" w:hAnsi="Arial" w:cs="Arial"/>
      </w:rPr>
    </w:lvl>
    <w:lvl w:ilvl="5">
      <w:start w:val="1"/>
      <w:numFmt w:val="lowerRoman"/>
      <w:lvlText w:val="%6."/>
      <w:lvlJc w:val="right"/>
      <w:pPr>
        <w:ind w:left="3600" w:firstLine="4680"/>
      </w:pPr>
      <w:rPr>
        <w:rFonts w:ascii="Arial" w:eastAsia="Arial" w:hAnsi="Arial" w:cs="Arial"/>
      </w:rPr>
    </w:lvl>
    <w:lvl w:ilvl="6">
      <w:start w:val="1"/>
      <w:numFmt w:val="decimal"/>
      <w:lvlText w:val="%7."/>
      <w:lvlJc w:val="left"/>
      <w:pPr>
        <w:ind w:left="4320" w:firstLine="5400"/>
      </w:pPr>
      <w:rPr>
        <w:rFonts w:ascii="Arial" w:eastAsia="Arial" w:hAnsi="Arial" w:cs="Arial"/>
      </w:rPr>
    </w:lvl>
    <w:lvl w:ilvl="7">
      <w:start w:val="1"/>
      <w:numFmt w:val="lowerLetter"/>
      <w:lvlText w:val="%8."/>
      <w:lvlJc w:val="left"/>
      <w:pPr>
        <w:ind w:left="5040" w:firstLine="6120"/>
      </w:pPr>
      <w:rPr>
        <w:rFonts w:ascii="Arial" w:eastAsia="Arial" w:hAnsi="Arial" w:cs="Arial"/>
      </w:rPr>
    </w:lvl>
    <w:lvl w:ilvl="8">
      <w:start w:val="1"/>
      <w:numFmt w:val="lowerRoman"/>
      <w:lvlText w:val="%9."/>
      <w:lvlJc w:val="right"/>
      <w:pPr>
        <w:ind w:left="5760" w:firstLine="6840"/>
      </w:pPr>
      <w:rPr>
        <w:rFonts w:ascii="Arial" w:eastAsia="Arial" w:hAnsi="Arial" w:cs="Arial"/>
      </w:rPr>
    </w:lvl>
  </w:abstractNum>
  <w:abstractNum w:abstractNumId="23" w15:restartNumberingAfterBreak="0">
    <w:nsid w:val="4F1F2EB3"/>
    <w:multiLevelType w:val="hybridMultilevel"/>
    <w:tmpl w:val="D21AD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4F6354"/>
    <w:multiLevelType w:val="hybridMultilevel"/>
    <w:tmpl w:val="D2D49D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59ED318F"/>
    <w:multiLevelType w:val="hybridMultilevel"/>
    <w:tmpl w:val="FC54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82508"/>
    <w:multiLevelType w:val="hybridMultilevel"/>
    <w:tmpl w:val="EDB4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10639C"/>
    <w:multiLevelType w:val="multilevel"/>
    <w:tmpl w:val="50507518"/>
    <w:lvl w:ilvl="0">
      <w:start w:val="1"/>
      <w:numFmt w:val="bullet"/>
      <w:lvlText w:val=""/>
      <w:lvlJc w:val="left"/>
      <w:pPr>
        <w:ind w:left="0" w:firstLine="1080"/>
      </w:pPr>
      <w:rPr>
        <w:rFonts w:ascii="Symbol" w:hAnsi="Symbol" w:hint="default"/>
      </w:rPr>
    </w:lvl>
    <w:lvl w:ilvl="1">
      <w:start w:val="1"/>
      <w:numFmt w:val="lowerLetter"/>
      <w:lvlText w:val="%2)"/>
      <w:lvlJc w:val="left"/>
      <w:pPr>
        <w:ind w:left="720" w:firstLine="1800"/>
      </w:pPr>
    </w:lvl>
    <w:lvl w:ilvl="2">
      <w:start w:val="1"/>
      <w:numFmt w:val="lowerRoman"/>
      <w:lvlText w:val="%3."/>
      <w:lvlJc w:val="right"/>
      <w:pPr>
        <w:ind w:left="1440" w:firstLine="2520"/>
      </w:pPr>
      <w:rPr>
        <w:rFonts w:ascii="Arial" w:eastAsia="Arial" w:hAnsi="Arial" w:cs="Arial"/>
      </w:rPr>
    </w:lvl>
    <w:lvl w:ilvl="3">
      <w:start w:val="1"/>
      <w:numFmt w:val="decimal"/>
      <w:lvlText w:val="%4."/>
      <w:lvlJc w:val="left"/>
      <w:pPr>
        <w:ind w:left="2160" w:firstLine="3240"/>
      </w:pPr>
      <w:rPr>
        <w:rFonts w:ascii="Arial" w:eastAsia="Arial" w:hAnsi="Arial" w:cs="Arial"/>
      </w:rPr>
    </w:lvl>
    <w:lvl w:ilvl="4">
      <w:start w:val="1"/>
      <w:numFmt w:val="lowerLetter"/>
      <w:lvlText w:val="%5."/>
      <w:lvlJc w:val="left"/>
      <w:pPr>
        <w:ind w:left="2880" w:firstLine="3960"/>
      </w:pPr>
      <w:rPr>
        <w:rFonts w:ascii="Arial" w:eastAsia="Arial" w:hAnsi="Arial" w:cs="Arial"/>
      </w:rPr>
    </w:lvl>
    <w:lvl w:ilvl="5">
      <w:start w:val="1"/>
      <w:numFmt w:val="lowerRoman"/>
      <w:lvlText w:val="%6."/>
      <w:lvlJc w:val="right"/>
      <w:pPr>
        <w:ind w:left="3600" w:firstLine="4680"/>
      </w:pPr>
      <w:rPr>
        <w:rFonts w:ascii="Arial" w:eastAsia="Arial" w:hAnsi="Arial" w:cs="Arial"/>
      </w:rPr>
    </w:lvl>
    <w:lvl w:ilvl="6">
      <w:start w:val="1"/>
      <w:numFmt w:val="decimal"/>
      <w:lvlText w:val="%7."/>
      <w:lvlJc w:val="left"/>
      <w:pPr>
        <w:ind w:left="4320" w:firstLine="5400"/>
      </w:pPr>
      <w:rPr>
        <w:rFonts w:ascii="Arial" w:eastAsia="Arial" w:hAnsi="Arial" w:cs="Arial"/>
      </w:rPr>
    </w:lvl>
    <w:lvl w:ilvl="7">
      <w:start w:val="1"/>
      <w:numFmt w:val="lowerLetter"/>
      <w:lvlText w:val="%8."/>
      <w:lvlJc w:val="left"/>
      <w:pPr>
        <w:ind w:left="5040" w:firstLine="6120"/>
      </w:pPr>
      <w:rPr>
        <w:rFonts w:ascii="Arial" w:eastAsia="Arial" w:hAnsi="Arial" w:cs="Arial"/>
      </w:rPr>
    </w:lvl>
    <w:lvl w:ilvl="8">
      <w:start w:val="1"/>
      <w:numFmt w:val="lowerRoman"/>
      <w:lvlText w:val="%9."/>
      <w:lvlJc w:val="right"/>
      <w:pPr>
        <w:ind w:left="5760" w:firstLine="6840"/>
      </w:pPr>
      <w:rPr>
        <w:rFonts w:ascii="Arial" w:eastAsia="Arial" w:hAnsi="Arial" w:cs="Arial"/>
      </w:rPr>
    </w:lvl>
  </w:abstractNum>
  <w:abstractNum w:abstractNumId="28" w15:restartNumberingAfterBreak="0">
    <w:nsid w:val="6A005AD7"/>
    <w:multiLevelType w:val="hybridMultilevel"/>
    <w:tmpl w:val="850484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A74703"/>
    <w:multiLevelType w:val="hybridMultilevel"/>
    <w:tmpl w:val="11009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B4ABE"/>
    <w:multiLevelType w:val="hybridMultilevel"/>
    <w:tmpl w:val="302A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9643D"/>
    <w:multiLevelType w:val="hybridMultilevel"/>
    <w:tmpl w:val="78A2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985884">
    <w:abstractNumId w:val="7"/>
  </w:num>
  <w:num w:numId="2" w16cid:durableId="2108765503">
    <w:abstractNumId w:val="10"/>
  </w:num>
  <w:num w:numId="3" w16cid:durableId="213195819">
    <w:abstractNumId w:val="18"/>
  </w:num>
  <w:num w:numId="4" w16cid:durableId="17660766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191465">
    <w:abstractNumId w:val="6"/>
  </w:num>
  <w:num w:numId="6" w16cid:durableId="583682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328844">
    <w:abstractNumId w:val="15"/>
  </w:num>
  <w:num w:numId="8" w16cid:durableId="1856848950">
    <w:abstractNumId w:val="28"/>
  </w:num>
  <w:num w:numId="9" w16cid:durableId="309676613">
    <w:abstractNumId w:val="19"/>
  </w:num>
  <w:num w:numId="10" w16cid:durableId="66417738">
    <w:abstractNumId w:val="2"/>
  </w:num>
  <w:num w:numId="11" w16cid:durableId="1922526133">
    <w:abstractNumId w:val="11"/>
  </w:num>
  <w:num w:numId="12" w16cid:durableId="934826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6017">
    <w:abstractNumId w:val="9"/>
  </w:num>
  <w:num w:numId="14" w16cid:durableId="2135053013">
    <w:abstractNumId w:val="30"/>
  </w:num>
  <w:num w:numId="15" w16cid:durableId="1743603121">
    <w:abstractNumId w:val="24"/>
  </w:num>
  <w:num w:numId="16" w16cid:durableId="1130200913">
    <w:abstractNumId w:val="13"/>
  </w:num>
  <w:num w:numId="17" w16cid:durableId="1683119407">
    <w:abstractNumId w:val="22"/>
  </w:num>
  <w:num w:numId="18" w16cid:durableId="208878290">
    <w:abstractNumId w:val="27"/>
  </w:num>
  <w:num w:numId="19" w16cid:durableId="1252422916">
    <w:abstractNumId w:val="0"/>
  </w:num>
  <w:num w:numId="20" w16cid:durableId="866454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783739">
    <w:abstractNumId w:val="23"/>
  </w:num>
  <w:num w:numId="22" w16cid:durableId="19864736">
    <w:abstractNumId w:val="4"/>
  </w:num>
  <w:num w:numId="23" w16cid:durableId="1945571300">
    <w:abstractNumId w:val="1"/>
  </w:num>
  <w:num w:numId="24" w16cid:durableId="1414085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0295701">
    <w:abstractNumId w:val="8"/>
  </w:num>
  <w:num w:numId="26" w16cid:durableId="1684673279">
    <w:abstractNumId w:val="5"/>
  </w:num>
  <w:num w:numId="27" w16cid:durableId="951933527">
    <w:abstractNumId w:val="29"/>
  </w:num>
  <w:num w:numId="28" w16cid:durableId="1482380928">
    <w:abstractNumId w:val="16"/>
  </w:num>
  <w:num w:numId="29" w16cid:durableId="1574505779">
    <w:abstractNumId w:val="3"/>
  </w:num>
  <w:num w:numId="30" w16cid:durableId="399448461">
    <w:abstractNumId w:val="31"/>
  </w:num>
  <w:num w:numId="31" w16cid:durableId="1733040278">
    <w:abstractNumId w:val="21"/>
  </w:num>
  <w:num w:numId="32" w16cid:durableId="2067754008">
    <w:abstractNumId w:val="17"/>
  </w:num>
  <w:num w:numId="33" w16cid:durableId="1199195138">
    <w:abstractNumId w:val="14"/>
  </w:num>
  <w:num w:numId="34" w16cid:durableId="171995838">
    <w:abstractNumId w:val="26"/>
  </w:num>
  <w:num w:numId="35" w16cid:durableId="517037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6A"/>
    <w:rsid w:val="0000406E"/>
    <w:rsid w:val="0004687A"/>
    <w:rsid w:val="00076836"/>
    <w:rsid w:val="000823CB"/>
    <w:rsid w:val="000D1045"/>
    <w:rsid w:val="000E4718"/>
    <w:rsid w:val="000F6C37"/>
    <w:rsid w:val="000F7D19"/>
    <w:rsid w:val="00101C84"/>
    <w:rsid w:val="00103B3D"/>
    <w:rsid w:val="001140AF"/>
    <w:rsid w:val="001160EA"/>
    <w:rsid w:val="00125EFA"/>
    <w:rsid w:val="00141090"/>
    <w:rsid w:val="00145ABA"/>
    <w:rsid w:val="00151761"/>
    <w:rsid w:val="001602EA"/>
    <w:rsid w:val="001603D6"/>
    <w:rsid w:val="00175EF8"/>
    <w:rsid w:val="0019153E"/>
    <w:rsid w:val="00194E73"/>
    <w:rsid w:val="001A2022"/>
    <w:rsid w:val="001A2F82"/>
    <w:rsid w:val="001A36E8"/>
    <w:rsid w:val="001D0BC3"/>
    <w:rsid w:val="001E41BA"/>
    <w:rsid w:val="001F2966"/>
    <w:rsid w:val="001F338C"/>
    <w:rsid w:val="001F39B8"/>
    <w:rsid w:val="001F47A9"/>
    <w:rsid w:val="001F73A7"/>
    <w:rsid w:val="002028BC"/>
    <w:rsid w:val="00207B78"/>
    <w:rsid w:val="002109D0"/>
    <w:rsid w:val="00211F09"/>
    <w:rsid w:val="002143B0"/>
    <w:rsid w:val="002146B6"/>
    <w:rsid w:val="00220368"/>
    <w:rsid w:val="00225B04"/>
    <w:rsid w:val="00232176"/>
    <w:rsid w:val="00236DCB"/>
    <w:rsid w:val="00241F5B"/>
    <w:rsid w:val="00242C83"/>
    <w:rsid w:val="00243893"/>
    <w:rsid w:val="00250815"/>
    <w:rsid w:val="00250FB1"/>
    <w:rsid w:val="00256DD0"/>
    <w:rsid w:val="0029648F"/>
    <w:rsid w:val="002A2441"/>
    <w:rsid w:val="002C3970"/>
    <w:rsid w:val="002C59DC"/>
    <w:rsid w:val="002D33C9"/>
    <w:rsid w:val="002D39A4"/>
    <w:rsid w:val="002D63F9"/>
    <w:rsid w:val="002F5268"/>
    <w:rsid w:val="002F7FF3"/>
    <w:rsid w:val="00302754"/>
    <w:rsid w:val="00320E8A"/>
    <w:rsid w:val="00323182"/>
    <w:rsid w:val="00330D1B"/>
    <w:rsid w:val="003341A3"/>
    <w:rsid w:val="00342892"/>
    <w:rsid w:val="00343FB2"/>
    <w:rsid w:val="00373126"/>
    <w:rsid w:val="00380944"/>
    <w:rsid w:val="003827C2"/>
    <w:rsid w:val="003873B5"/>
    <w:rsid w:val="00387B7D"/>
    <w:rsid w:val="003970D2"/>
    <w:rsid w:val="003A334D"/>
    <w:rsid w:val="003A43FF"/>
    <w:rsid w:val="003A6761"/>
    <w:rsid w:val="003B070A"/>
    <w:rsid w:val="003B17DF"/>
    <w:rsid w:val="003C1DF6"/>
    <w:rsid w:val="003D07C8"/>
    <w:rsid w:val="003E336B"/>
    <w:rsid w:val="003E6AC4"/>
    <w:rsid w:val="003F42AC"/>
    <w:rsid w:val="003F7E72"/>
    <w:rsid w:val="003F7EE0"/>
    <w:rsid w:val="004001F5"/>
    <w:rsid w:val="00404CA9"/>
    <w:rsid w:val="00404E3C"/>
    <w:rsid w:val="004276E3"/>
    <w:rsid w:val="00441805"/>
    <w:rsid w:val="00445EDA"/>
    <w:rsid w:val="00451B71"/>
    <w:rsid w:val="00464BFA"/>
    <w:rsid w:val="0049193A"/>
    <w:rsid w:val="004939E2"/>
    <w:rsid w:val="0049501F"/>
    <w:rsid w:val="00497B3E"/>
    <w:rsid w:val="004A54E3"/>
    <w:rsid w:val="004B60B6"/>
    <w:rsid w:val="004D2961"/>
    <w:rsid w:val="004D3EAD"/>
    <w:rsid w:val="004D64E9"/>
    <w:rsid w:val="004F2178"/>
    <w:rsid w:val="004F4252"/>
    <w:rsid w:val="004F5FE3"/>
    <w:rsid w:val="005027CF"/>
    <w:rsid w:val="0052195F"/>
    <w:rsid w:val="00522854"/>
    <w:rsid w:val="00536C5A"/>
    <w:rsid w:val="005407A4"/>
    <w:rsid w:val="00541B99"/>
    <w:rsid w:val="005465B1"/>
    <w:rsid w:val="00552E91"/>
    <w:rsid w:val="0056594F"/>
    <w:rsid w:val="00566EFB"/>
    <w:rsid w:val="005A2FE4"/>
    <w:rsid w:val="005A771E"/>
    <w:rsid w:val="005C485F"/>
    <w:rsid w:val="005E1101"/>
    <w:rsid w:val="005E7E52"/>
    <w:rsid w:val="0060267B"/>
    <w:rsid w:val="00610BFE"/>
    <w:rsid w:val="00611DD2"/>
    <w:rsid w:val="006344B6"/>
    <w:rsid w:val="00635F60"/>
    <w:rsid w:val="00636A1C"/>
    <w:rsid w:val="006574BC"/>
    <w:rsid w:val="00660B9E"/>
    <w:rsid w:val="00672E95"/>
    <w:rsid w:val="00684BFA"/>
    <w:rsid w:val="00684C11"/>
    <w:rsid w:val="00687C92"/>
    <w:rsid w:val="006A5484"/>
    <w:rsid w:val="006B3164"/>
    <w:rsid w:val="006B376E"/>
    <w:rsid w:val="006B77B2"/>
    <w:rsid w:val="006C0669"/>
    <w:rsid w:val="006E097A"/>
    <w:rsid w:val="006E396A"/>
    <w:rsid w:val="006F65FB"/>
    <w:rsid w:val="006F6778"/>
    <w:rsid w:val="006F712C"/>
    <w:rsid w:val="00705BEF"/>
    <w:rsid w:val="00711C74"/>
    <w:rsid w:val="0072484A"/>
    <w:rsid w:val="00726CB8"/>
    <w:rsid w:val="00741D4A"/>
    <w:rsid w:val="00756F4D"/>
    <w:rsid w:val="007B7F98"/>
    <w:rsid w:val="007D0AE3"/>
    <w:rsid w:val="007D207B"/>
    <w:rsid w:val="0080310E"/>
    <w:rsid w:val="00804040"/>
    <w:rsid w:val="00804D7F"/>
    <w:rsid w:val="008125FA"/>
    <w:rsid w:val="00815F2C"/>
    <w:rsid w:val="0082108F"/>
    <w:rsid w:val="008329C1"/>
    <w:rsid w:val="00854D67"/>
    <w:rsid w:val="00864742"/>
    <w:rsid w:val="00872BA7"/>
    <w:rsid w:val="00883009"/>
    <w:rsid w:val="008876D3"/>
    <w:rsid w:val="008B5DAA"/>
    <w:rsid w:val="008B7923"/>
    <w:rsid w:val="008C7357"/>
    <w:rsid w:val="008F12CF"/>
    <w:rsid w:val="008F5359"/>
    <w:rsid w:val="009031D5"/>
    <w:rsid w:val="00904745"/>
    <w:rsid w:val="00932F32"/>
    <w:rsid w:val="009732F2"/>
    <w:rsid w:val="00974304"/>
    <w:rsid w:val="00990A6B"/>
    <w:rsid w:val="00991E4F"/>
    <w:rsid w:val="00992B88"/>
    <w:rsid w:val="009B6907"/>
    <w:rsid w:val="009B7BCE"/>
    <w:rsid w:val="009D1D3A"/>
    <w:rsid w:val="009D69B0"/>
    <w:rsid w:val="00A01374"/>
    <w:rsid w:val="00A16980"/>
    <w:rsid w:val="00A32575"/>
    <w:rsid w:val="00A33B6B"/>
    <w:rsid w:val="00A34582"/>
    <w:rsid w:val="00A56A69"/>
    <w:rsid w:val="00A6330C"/>
    <w:rsid w:val="00A63785"/>
    <w:rsid w:val="00A638CD"/>
    <w:rsid w:val="00A80ECB"/>
    <w:rsid w:val="00A868E3"/>
    <w:rsid w:val="00A92CB2"/>
    <w:rsid w:val="00A96252"/>
    <w:rsid w:val="00AA4960"/>
    <w:rsid w:val="00AC1F71"/>
    <w:rsid w:val="00AC4C33"/>
    <w:rsid w:val="00AE5EEC"/>
    <w:rsid w:val="00AF2A7E"/>
    <w:rsid w:val="00B546CA"/>
    <w:rsid w:val="00B73971"/>
    <w:rsid w:val="00BA3999"/>
    <w:rsid w:val="00BA4207"/>
    <w:rsid w:val="00BC2A19"/>
    <w:rsid w:val="00BD27CD"/>
    <w:rsid w:val="00BE4065"/>
    <w:rsid w:val="00BF0D70"/>
    <w:rsid w:val="00C402D9"/>
    <w:rsid w:val="00C4367B"/>
    <w:rsid w:val="00C456DE"/>
    <w:rsid w:val="00C472B1"/>
    <w:rsid w:val="00C51256"/>
    <w:rsid w:val="00C55C62"/>
    <w:rsid w:val="00C57B29"/>
    <w:rsid w:val="00C92DFC"/>
    <w:rsid w:val="00C97613"/>
    <w:rsid w:val="00CA7AA1"/>
    <w:rsid w:val="00CC7C4B"/>
    <w:rsid w:val="00CD6CE5"/>
    <w:rsid w:val="00CE13C7"/>
    <w:rsid w:val="00CF328F"/>
    <w:rsid w:val="00CF7E58"/>
    <w:rsid w:val="00D12B6D"/>
    <w:rsid w:val="00D16CAC"/>
    <w:rsid w:val="00D357A7"/>
    <w:rsid w:val="00D45E72"/>
    <w:rsid w:val="00D52382"/>
    <w:rsid w:val="00D631A7"/>
    <w:rsid w:val="00D66A11"/>
    <w:rsid w:val="00D67895"/>
    <w:rsid w:val="00D77145"/>
    <w:rsid w:val="00D878B6"/>
    <w:rsid w:val="00D96FB3"/>
    <w:rsid w:val="00DB510D"/>
    <w:rsid w:val="00DE6B91"/>
    <w:rsid w:val="00E00664"/>
    <w:rsid w:val="00E31E3A"/>
    <w:rsid w:val="00E55CD7"/>
    <w:rsid w:val="00E6409C"/>
    <w:rsid w:val="00E7625E"/>
    <w:rsid w:val="00E817F7"/>
    <w:rsid w:val="00E90B11"/>
    <w:rsid w:val="00E93A6E"/>
    <w:rsid w:val="00EA4FB1"/>
    <w:rsid w:val="00EA7CD4"/>
    <w:rsid w:val="00ED43E4"/>
    <w:rsid w:val="00F23358"/>
    <w:rsid w:val="00F24A64"/>
    <w:rsid w:val="00F30771"/>
    <w:rsid w:val="00F4295C"/>
    <w:rsid w:val="00F50A50"/>
    <w:rsid w:val="00F55C30"/>
    <w:rsid w:val="00F56CAA"/>
    <w:rsid w:val="00F9369C"/>
    <w:rsid w:val="00F963DE"/>
    <w:rsid w:val="00FA39D6"/>
    <w:rsid w:val="00FA5532"/>
    <w:rsid w:val="00FB4B90"/>
    <w:rsid w:val="00FB4BAB"/>
    <w:rsid w:val="00FC0552"/>
    <w:rsid w:val="00FC093D"/>
    <w:rsid w:val="00FC1852"/>
    <w:rsid w:val="00FC361C"/>
    <w:rsid w:val="00FE4F48"/>
    <w:rsid w:val="00FF6812"/>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28EA"/>
  <w15:docId w15:val="{3486766E-7232-4EC5-8FFB-D5B24465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771"/>
    <w:pPr>
      <w:keepNext/>
      <w:keepLines/>
      <w:spacing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F30771"/>
    <w:pPr>
      <w:keepNext/>
      <w:keepLines/>
      <w:spacing w:after="0"/>
      <w:outlineLvl w:val="1"/>
    </w:pPr>
    <w:rPr>
      <w:rFonts w:eastAsiaTheme="majorEastAsia" w:cstheme="majorBidi"/>
      <w:b/>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999"/>
    <w:pPr>
      <w:ind w:left="720"/>
      <w:contextualSpacing/>
    </w:pPr>
  </w:style>
  <w:style w:type="character" w:styleId="CommentReference">
    <w:name w:val="annotation reference"/>
    <w:basedOn w:val="DefaultParagraphFont"/>
    <w:uiPriority w:val="99"/>
    <w:semiHidden/>
    <w:unhideWhenUsed/>
    <w:rsid w:val="006F6778"/>
    <w:rPr>
      <w:sz w:val="16"/>
      <w:szCs w:val="16"/>
    </w:rPr>
  </w:style>
  <w:style w:type="paragraph" w:styleId="CommentText">
    <w:name w:val="annotation text"/>
    <w:basedOn w:val="Normal"/>
    <w:link w:val="CommentTextChar"/>
    <w:uiPriority w:val="99"/>
    <w:semiHidden/>
    <w:unhideWhenUsed/>
    <w:rsid w:val="006F6778"/>
    <w:pPr>
      <w:spacing w:line="240" w:lineRule="auto"/>
    </w:pPr>
    <w:rPr>
      <w:sz w:val="20"/>
      <w:szCs w:val="20"/>
    </w:rPr>
  </w:style>
  <w:style w:type="character" w:customStyle="1" w:styleId="CommentTextChar">
    <w:name w:val="Comment Text Char"/>
    <w:basedOn w:val="DefaultParagraphFont"/>
    <w:link w:val="CommentText"/>
    <w:uiPriority w:val="99"/>
    <w:semiHidden/>
    <w:rsid w:val="006F6778"/>
    <w:rPr>
      <w:sz w:val="20"/>
      <w:szCs w:val="20"/>
    </w:rPr>
  </w:style>
  <w:style w:type="paragraph" w:styleId="CommentSubject">
    <w:name w:val="annotation subject"/>
    <w:basedOn w:val="CommentText"/>
    <w:next w:val="CommentText"/>
    <w:link w:val="CommentSubjectChar"/>
    <w:uiPriority w:val="99"/>
    <w:semiHidden/>
    <w:unhideWhenUsed/>
    <w:rsid w:val="006F6778"/>
    <w:rPr>
      <w:b/>
      <w:bCs/>
    </w:rPr>
  </w:style>
  <w:style w:type="character" w:customStyle="1" w:styleId="CommentSubjectChar">
    <w:name w:val="Comment Subject Char"/>
    <w:basedOn w:val="CommentTextChar"/>
    <w:link w:val="CommentSubject"/>
    <w:uiPriority w:val="99"/>
    <w:semiHidden/>
    <w:rsid w:val="006F6778"/>
    <w:rPr>
      <w:b/>
      <w:bCs/>
      <w:sz w:val="20"/>
      <w:szCs w:val="20"/>
    </w:rPr>
  </w:style>
  <w:style w:type="paragraph" w:styleId="BalloonText">
    <w:name w:val="Balloon Text"/>
    <w:basedOn w:val="Normal"/>
    <w:link w:val="BalloonTextChar"/>
    <w:uiPriority w:val="99"/>
    <w:semiHidden/>
    <w:unhideWhenUsed/>
    <w:rsid w:val="006F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78"/>
    <w:rPr>
      <w:rFonts w:ascii="Tahoma" w:hAnsi="Tahoma" w:cs="Tahoma"/>
      <w:sz w:val="16"/>
      <w:szCs w:val="16"/>
    </w:rPr>
  </w:style>
  <w:style w:type="character" w:styleId="Hyperlink">
    <w:name w:val="Hyperlink"/>
    <w:basedOn w:val="DefaultParagraphFont"/>
    <w:uiPriority w:val="99"/>
    <w:unhideWhenUsed/>
    <w:rsid w:val="00E6409C"/>
    <w:rPr>
      <w:color w:val="0000FF"/>
      <w:u w:val="single"/>
    </w:rPr>
  </w:style>
  <w:style w:type="paragraph" w:customStyle="1" w:styleId="DefaultText">
    <w:name w:val="Default Text"/>
    <w:basedOn w:val="Normal"/>
    <w:rsid w:val="00F24A64"/>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8125FA"/>
    <w:pPr>
      <w:spacing w:after="0" w:line="240" w:lineRule="auto"/>
    </w:pPr>
  </w:style>
  <w:style w:type="character" w:customStyle="1" w:styleId="Heading1Char">
    <w:name w:val="Heading 1 Char"/>
    <w:basedOn w:val="DefaultParagraphFont"/>
    <w:link w:val="Heading1"/>
    <w:uiPriority w:val="9"/>
    <w:rsid w:val="00F30771"/>
    <w:rPr>
      <w:rFonts w:eastAsiaTheme="majorEastAsia" w:cstheme="majorBidi"/>
      <w:b/>
      <w:color w:val="365F91" w:themeColor="accent1" w:themeShade="BF"/>
      <w:sz w:val="28"/>
      <w:szCs w:val="32"/>
    </w:rPr>
  </w:style>
  <w:style w:type="character" w:customStyle="1" w:styleId="Heading2Char">
    <w:name w:val="Heading 2 Char"/>
    <w:basedOn w:val="DefaultParagraphFont"/>
    <w:link w:val="Heading2"/>
    <w:uiPriority w:val="9"/>
    <w:rsid w:val="00F30771"/>
    <w:rPr>
      <w:rFonts w:eastAsiaTheme="majorEastAsia" w:cstheme="majorBidi"/>
      <w:b/>
      <w:color w:val="365F91" w:themeColor="accent1" w:themeShade="BF"/>
      <w:sz w:val="24"/>
      <w:szCs w:val="26"/>
    </w:rPr>
  </w:style>
  <w:style w:type="paragraph" w:styleId="TOCHeading">
    <w:name w:val="TOC Heading"/>
    <w:basedOn w:val="Heading1"/>
    <w:next w:val="Normal"/>
    <w:uiPriority w:val="39"/>
    <w:unhideWhenUsed/>
    <w:qFormat/>
    <w:rsid w:val="008F12CF"/>
    <w:pPr>
      <w:spacing w:before="240"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8F12CF"/>
    <w:pPr>
      <w:spacing w:after="100"/>
    </w:pPr>
  </w:style>
  <w:style w:type="paragraph" w:styleId="TOC2">
    <w:name w:val="toc 2"/>
    <w:basedOn w:val="Normal"/>
    <w:next w:val="Normal"/>
    <w:autoRedefine/>
    <w:uiPriority w:val="39"/>
    <w:unhideWhenUsed/>
    <w:rsid w:val="008F12CF"/>
    <w:pPr>
      <w:spacing w:after="100"/>
      <w:ind w:left="220"/>
    </w:pPr>
  </w:style>
  <w:style w:type="paragraph" w:styleId="NormalWeb">
    <w:name w:val="Normal (Web)"/>
    <w:basedOn w:val="Normal"/>
    <w:uiPriority w:val="99"/>
    <w:semiHidden/>
    <w:unhideWhenUsed/>
    <w:rsid w:val="005A771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C7C4B"/>
    <w:rPr>
      <w:color w:val="800080" w:themeColor="followedHyperlink"/>
      <w:u w:val="single"/>
    </w:rPr>
  </w:style>
  <w:style w:type="character" w:styleId="UnresolvedMention">
    <w:name w:val="Unresolved Mention"/>
    <w:basedOn w:val="DefaultParagraphFont"/>
    <w:uiPriority w:val="99"/>
    <w:semiHidden/>
    <w:unhideWhenUsed/>
    <w:rsid w:val="00684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8054">
      <w:bodyDiv w:val="1"/>
      <w:marLeft w:val="0"/>
      <w:marRight w:val="0"/>
      <w:marTop w:val="0"/>
      <w:marBottom w:val="0"/>
      <w:divBdr>
        <w:top w:val="none" w:sz="0" w:space="0" w:color="auto"/>
        <w:left w:val="none" w:sz="0" w:space="0" w:color="auto"/>
        <w:bottom w:val="none" w:sz="0" w:space="0" w:color="auto"/>
        <w:right w:val="none" w:sz="0" w:space="0" w:color="auto"/>
      </w:divBdr>
    </w:div>
    <w:div w:id="125121802">
      <w:bodyDiv w:val="1"/>
      <w:marLeft w:val="0"/>
      <w:marRight w:val="0"/>
      <w:marTop w:val="0"/>
      <w:marBottom w:val="0"/>
      <w:divBdr>
        <w:top w:val="none" w:sz="0" w:space="0" w:color="auto"/>
        <w:left w:val="none" w:sz="0" w:space="0" w:color="auto"/>
        <w:bottom w:val="none" w:sz="0" w:space="0" w:color="auto"/>
        <w:right w:val="none" w:sz="0" w:space="0" w:color="auto"/>
      </w:divBdr>
    </w:div>
    <w:div w:id="247858064">
      <w:bodyDiv w:val="1"/>
      <w:marLeft w:val="0"/>
      <w:marRight w:val="0"/>
      <w:marTop w:val="0"/>
      <w:marBottom w:val="0"/>
      <w:divBdr>
        <w:top w:val="none" w:sz="0" w:space="0" w:color="auto"/>
        <w:left w:val="none" w:sz="0" w:space="0" w:color="auto"/>
        <w:bottom w:val="none" w:sz="0" w:space="0" w:color="auto"/>
        <w:right w:val="none" w:sz="0" w:space="0" w:color="auto"/>
      </w:divBdr>
    </w:div>
    <w:div w:id="275143175">
      <w:bodyDiv w:val="1"/>
      <w:marLeft w:val="0"/>
      <w:marRight w:val="0"/>
      <w:marTop w:val="0"/>
      <w:marBottom w:val="0"/>
      <w:divBdr>
        <w:top w:val="none" w:sz="0" w:space="0" w:color="auto"/>
        <w:left w:val="none" w:sz="0" w:space="0" w:color="auto"/>
        <w:bottom w:val="none" w:sz="0" w:space="0" w:color="auto"/>
        <w:right w:val="none" w:sz="0" w:space="0" w:color="auto"/>
      </w:divBdr>
    </w:div>
    <w:div w:id="277878569">
      <w:bodyDiv w:val="1"/>
      <w:marLeft w:val="0"/>
      <w:marRight w:val="0"/>
      <w:marTop w:val="0"/>
      <w:marBottom w:val="0"/>
      <w:divBdr>
        <w:top w:val="none" w:sz="0" w:space="0" w:color="auto"/>
        <w:left w:val="none" w:sz="0" w:space="0" w:color="auto"/>
        <w:bottom w:val="none" w:sz="0" w:space="0" w:color="auto"/>
        <w:right w:val="none" w:sz="0" w:space="0" w:color="auto"/>
      </w:divBdr>
    </w:div>
    <w:div w:id="305280135">
      <w:bodyDiv w:val="1"/>
      <w:marLeft w:val="0"/>
      <w:marRight w:val="0"/>
      <w:marTop w:val="0"/>
      <w:marBottom w:val="0"/>
      <w:divBdr>
        <w:top w:val="none" w:sz="0" w:space="0" w:color="auto"/>
        <w:left w:val="none" w:sz="0" w:space="0" w:color="auto"/>
        <w:bottom w:val="none" w:sz="0" w:space="0" w:color="auto"/>
        <w:right w:val="none" w:sz="0" w:space="0" w:color="auto"/>
      </w:divBdr>
    </w:div>
    <w:div w:id="378673890">
      <w:bodyDiv w:val="1"/>
      <w:marLeft w:val="0"/>
      <w:marRight w:val="0"/>
      <w:marTop w:val="0"/>
      <w:marBottom w:val="0"/>
      <w:divBdr>
        <w:top w:val="none" w:sz="0" w:space="0" w:color="auto"/>
        <w:left w:val="none" w:sz="0" w:space="0" w:color="auto"/>
        <w:bottom w:val="none" w:sz="0" w:space="0" w:color="auto"/>
        <w:right w:val="none" w:sz="0" w:space="0" w:color="auto"/>
      </w:divBdr>
    </w:div>
    <w:div w:id="382291696">
      <w:bodyDiv w:val="1"/>
      <w:marLeft w:val="0"/>
      <w:marRight w:val="0"/>
      <w:marTop w:val="0"/>
      <w:marBottom w:val="0"/>
      <w:divBdr>
        <w:top w:val="none" w:sz="0" w:space="0" w:color="auto"/>
        <w:left w:val="none" w:sz="0" w:space="0" w:color="auto"/>
        <w:bottom w:val="none" w:sz="0" w:space="0" w:color="auto"/>
        <w:right w:val="none" w:sz="0" w:space="0" w:color="auto"/>
      </w:divBdr>
      <w:divsChild>
        <w:div w:id="1726559126">
          <w:marLeft w:val="0"/>
          <w:marRight w:val="0"/>
          <w:marTop w:val="0"/>
          <w:marBottom w:val="0"/>
          <w:divBdr>
            <w:top w:val="none" w:sz="0" w:space="0" w:color="auto"/>
            <w:left w:val="none" w:sz="0" w:space="0" w:color="auto"/>
            <w:bottom w:val="none" w:sz="0" w:space="0" w:color="auto"/>
            <w:right w:val="none" w:sz="0" w:space="0" w:color="auto"/>
          </w:divBdr>
        </w:div>
      </w:divsChild>
    </w:div>
    <w:div w:id="568423723">
      <w:bodyDiv w:val="1"/>
      <w:marLeft w:val="0"/>
      <w:marRight w:val="0"/>
      <w:marTop w:val="0"/>
      <w:marBottom w:val="0"/>
      <w:divBdr>
        <w:top w:val="none" w:sz="0" w:space="0" w:color="auto"/>
        <w:left w:val="none" w:sz="0" w:space="0" w:color="auto"/>
        <w:bottom w:val="none" w:sz="0" w:space="0" w:color="auto"/>
        <w:right w:val="none" w:sz="0" w:space="0" w:color="auto"/>
      </w:divBdr>
    </w:div>
    <w:div w:id="625237757">
      <w:bodyDiv w:val="1"/>
      <w:marLeft w:val="0"/>
      <w:marRight w:val="0"/>
      <w:marTop w:val="0"/>
      <w:marBottom w:val="0"/>
      <w:divBdr>
        <w:top w:val="none" w:sz="0" w:space="0" w:color="auto"/>
        <w:left w:val="none" w:sz="0" w:space="0" w:color="auto"/>
        <w:bottom w:val="none" w:sz="0" w:space="0" w:color="auto"/>
        <w:right w:val="none" w:sz="0" w:space="0" w:color="auto"/>
      </w:divBdr>
    </w:div>
    <w:div w:id="727798247">
      <w:bodyDiv w:val="1"/>
      <w:marLeft w:val="0"/>
      <w:marRight w:val="0"/>
      <w:marTop w:val="0"/>
      <w:marBottom w:val="0"/>
      <w:divBdr>
        <w:top w:val="none" w:sz="0" w:space="0" w:color="auto"/>
        <w:left w:val="none" w:sz="0" w:space="0" w:color="auto"/>
        <w:bottom w:val="none" w:sz="0" w:space="0" w:color="auto"/>
        <w:right w:val="none" w:sz="0" w:space="0" w:color="auto"/>
      </w:divBdr>
    </w:div>
    <w:div w:id="847788514">
      <w:bodyDiv w:val="1"/>
      <w:marLeft w:val="0"/>
      <w:marRight w:val="0"/>
      <w:marTop w:val="0"/>
      <w:marBottom w:val="0"/>
      <w:divBdr>
        <w:top w:val="none" w:sz="0" w:space="0" w:color="auto"/>
        <w:left w:val="none" w:sz="0" w:space="0" w:color="auto"/>
        <w:bottom w:val="none" w:sz="0" w:space="0" w:color="auto"/>
        <w:right w:val="none" w:sz="0" w:space="0" w:color="auto"/>
      </w:divBdr>
    </w:div>
    <w:div w:id="966394420">
      <w:bodyDiv w:val="1"/>
      <w:marLeft w:val="0"/>
      <w:marRight w:val="0"/>
      <w:marTop w:val="0"/>
      <w:marBottom w:val="0"/>
      <w:divBdr>
        <w:top w:val="none" w:sz="0" w:space="0" w:color="auto"/>
        <w:left w:val="none" w:sz="0" w:space="0" w:color="auto"/>
        <w:bottom w:val="none" w:sz="0" w:space="0" w:color="auto"/>
        <w:right w:val="none" w:sz="0" w:space="0" w:color="auto"/>
      </w:divBdr>
    </w:div>
    <w:div w:id="995575363">
      <w:bodyDiv w:val="1"/>
      <w:marLeft w:val="0"/>
      <w:marRight w:val="0"/>
      <w:marTop w:val="0"/>
      <w:marBottom w:val="0"/>
      <w:divBdr>
        <w:top w:val="none" w:sz="0" w:space="0" w:color="auto"/>
        <w:left w:val="none" w:sz="0" w:space="0" w:color="auto"/>
        <w:bottom w:val="none" w:sz="0" w:space="0" w:color="auto"/>
        <w:right w:val="none" w:sz="0" w:space="0" w:color="auto"/>
      </w:divBdr>
    </w:div>
    <w:div w:id="1052384834">
      <w:bodyDiv w:val="1"/>
      <w:marLeft w:val="0"/>
      <w:marRight w:val="0"/>
      <w:marTop w:val="0"/>
      <w:marBottom w:val="0"/>
      <w:divBdr>
        <w:top w:val="none" w:sz="0" w:space="0" w:color="auto"/>
        <w:left w:val="none" w:sz="0" w:space="0" w:color="auto"/>
        <w:bottom w:val="none" w:sz="0" w:space="0" w:color="auto"/>
        <w:right w:val="none" w:sz="0" w:space="0" w:color="auto"/>
      </w:divBdr>
    </w:div>
    <w:div w:id="1141847852">
      <w:bodyDiv w:val="1"/>
      <w:marLeft w:val="0"/>
      <w:marRight w:val="0"/>
      <w:marTop w:val="0"/>
      <w:marBottom w:val="0"/>
      <w:divBdr>
        <w:top w:val="none" w:sz="0" w:space="0" w:color="auto"/>
        <w:left w:val="none" w:sz="0" w:space="0" w:color="auto"/>
        <w:bottom w:val="none" w:sz="0" w:space="0" w:color="auto"/>
        <w:right w:val="none" w:sz="0" w:space="0" w:color="auto"/>
      </w:divBdr>
    </w:div>
    <w:div w:id="1177505082">
      <w:bodyDiv w:val="1"/>
      <w:marLeft w:val="0"/>
      <w:marRight w:val="0"/>
      <w:marTop w:val="0"/>
      <w:marBottom w:val="0"/>
      <w:divBdr>
        <w:top w:val="none" w:sz="0" w:space="0" w:color="auto"/>
        <w:left w:val="none" w:sz="0" w:space="0" w:color="auto"/>
        <w:bottom w:val="none" w:sz="0" w:space="0" w:color="auto"/>
        <w:right w:val="none" w:sz="0" w:space="0" w:color="auto"/>
      </w:divBdr>
    </w:div>
    <w:div w:id="1246764080">
      <w:bodyDiv w:val="1"/>
      <w:marLeft w:val="0"/>
      <w:marRight w:val="0"/>
      <w:marTop w:val="0"/>
      <w:marBottom w:val="0"/>
      <w:divBdr>
        <w:top w:val="none" w:sz="0" w:space="0" w:color="auto"/>
        <w:left w:val="none" w:sz="0" w:space="0" w:color="auto"/>
        <w:bottom w:val="none" w:sz="0" w:space="0" w:color="auto"/>
        <w:right w:val="none" w:sz="0" w:space="0" w:color="auto"/>
      </w:divBdr>
      <w:divsChild>
        <w:div w:id="864056674">
          <w:marLeft w:val="0"/>
          <w:marRight w:val="0"/>
          <w:marTop w:val="0"/>
          <w:marBottom w:val="0"/>
          <w:divBdr>
            <w:top w:val="none" w:sz="0" w:space="0" w:color="auto"/>
            <w:left w:val="none" w:sz="0" w:space="0" w:color="auto"/>
            <w:bottom w:val="none" w:sz="0" w:space="0" w:color="auto"/>
            <w:right w:val="none" w:sz="0" w:space="0" w:color="auto"/>
          </w:divBdr>
        </w:div>
      </w:divsChild>
    </w:div>
    <w:div w:id="1380589350">
      <w:bodyDiv w:val="1"/>
      <w:marLeft w:val="0"/>
      <w:marRight w:val="0"/>
      <w:marTop w:val="0"/>
      <w:marBottom w:val="0"/>
      <w:divBdr>
        <w:top w:val="none" w:sz="0" w:space="0" w:color="auto"/>
        <w:left w:val="none" w:sz="0" w:space="0" w:color="auto"/>
        <w:bottom w:val="none" w:sz="0" w:space="0" w:color="auto"/>
        <w:right w:val="none" w:sz="0" w:space="0" w:color="auto"/>
      </w:divBdr>
    </w:div>
    <w:div w:id="1390152416">
      <w:bodyDiv w:val="1"/>
      <w:marLeft w:val="0"/>
      <w:marRight w:val="0"/>
      <w:marTop w:val="0"/>
      <w:marBottom w:val="0"/>
      <w:divBdr>
        <w:top w:val="none" w:sz="0" w:space="0" w:color="auto"/>
        <w:left w:val="none" w:sz="0" w:space="0" w:color="auto"/>
        <w:bottom w:val="none" w:sz="0" w:space="0" w:color="auto"/>
        <w:right w:val="none" w:sz="0" w:space="0" w:color="auto"/>
      </w:divBdr>
    </w:div>
    <w:div w:id="1499344805">
      <w:bodyDiv w:val="1"/>
      <w:marLeft w:val="0"/>
      <w:marRight w:val="0"/>
      <w:marTop w:val="0"/>
      <w:marBottom w:val="0"/>
      <w:divBdr>
        <w:top w:val="none" w:sz="0" w:space="0" w:color="auto"/>
        <w:left w:val="none" w:sz="0" w:space="0" w:color="auto"/>
        <w:bottom w:val="none" w:sz="0" w:space="0" w:color="auto"/>
        <w:right w:val="none" w:sz="0" w:space="0" w:color="auto"/>
      </w:divBdr>
    </w:div>
    <w:div w:id="1548109296">
      <w:bodyDiv w:val="1"/>
      <w:marLeft w:val="0"/>
      <w:marRight w:val="0"/>
      <w:marTop w:val="0"/>
      <w:marBottom w:val="0"/>
      <w:divBdr>
        <w:top w:val="none" w:sz="0" w:space="0" w:color="auto"/>
        <w:left w:val="none" w:sz="0" w:space="0" w:color="auto"/>
        <w:bottom w:val="none" w:sz="0" w:space="0" w:color="auto"/>
        <w:right w:val="none" w:sz="0" w:space="0" w:color="auto"/>
      </w:divBdr>
    </w:div>
    <w:div w:id="1598631546">
      <w:bodyDiv w:val="1"/>
      <w:marLeft w:val="0"/>
      <w:marRight w:val="0"/>
      <w:marTop w:val="0"/>
      <w:marBottom w:val="0"/>
      <w:divBdr>
        <w:top w:val="none" w:sz="0" w:space="0" w:color="auto"/>
        <w:left w:val="none" w:sz="0" w:space="0" w:color="auto"/>
        <w:bottom w:val="none" w:sz="0" w:space="0" w:color="auto"/>
        <w:right w:val="none" w:sz="0" w:space="0" w:color="auto"/>
      </w:divBdr>
    </w:div>
    <w:div w:id="1715807292">
      <w:bodyDiv w:val="1"/>
      <w:marLeft w:val="0"/>
      <w:marRight w:val="0"/>
      <w:marTop w:val="0"/>
      <w:marBottom w:val="0"/>
      <w:divBdr>
        <w:top w:val="none" w:sz="0" w:space="0" w:color="auto"/>
        <w:left w:val="none" w:sz="0" w:space="0" w:color="auto"/>
        <w:bottom w:val="none" w:sz="0" w:space="0" w:color="auto"/>
        <w:right w:val="none" w:sz="0" w:space="0" w:color="auto"/>
      </w:divBdr>
    </w:div>
    <w:div w:id="1744984836">
      <w:bodyDiv w:val="1"/>
      <w:marLeft w:val="0"/>
      <w:marRight w:val="0"/>
      <w:marTop w:val="0"/>
      <w:marBottom w:val="0"/>
      <w:divBdr>
        <w:top w:val="none" w:sz="0" w:space="0" w:color="auto"/>
        <w:left w:val="none" w:sz="0" w:space="0" w:color="auto"/>
        <w:bottom w:val="none" w:sz="0" w:space="0" w:color="auto"/>
        <w:right w:val="none" w:sz="0" w:space="0" w:color="auto"/>
      </w:divBdr>
    </w:div>
    <w:div w:id="1848249235">
      <w:bodyDiv w:val="1"/>
      <w:marLeft w:val="0"/>
      <w:marRight w:val="0"/>
      <w:marTop w:val="0"/>
      <w:marBottom w:val="0"/>
      <w:divBdr>
        <w:top w:val="none" w:sz="0" w:space="0" w:color="auto"/>
        <w:left w:val="none" w:sz="0" w:space="0" w:color="auto"/>
        <w:bottom w:val="none" w:sz="0" w:space="0" w:color="auto"/>
        <w:right w:val="none" w:sz="0" w:space="0" w:color="auto"/>
      </w:divBdr>
    </w:div>
    <w:div w:id="1886671205">
      <w:bodyDiv w:val="1"/>
      <w:marLeft w:val="0"/>
      <w:marRight w:val="0"/>
      <w:marTop w:val="0"/>
      <w:marBottom w:val="0"/>
      <w:divBdr>
        <w:top w:val="none" w:sz="0" w:space="0" w:color="auto"/>
        <w:left w:val="none" w:sz="0" w:space="0" w:color="auto"/>
        <w:bottom w:val="none" w:sz="0" w:space="0" w:color="auto"/>
        <w:right w:val="none" w:sz="0" w:space="0" w:color="auto"/>
      </w:divBdr>
    </w:div>
    <w:div w:id="1911304032">
      <w:bodyDiv w:val="1"/>
      <w:marLeft w:val="0"/>
      <w:marRight w:val="0"/>
      <w:marTop w:val="0"/>
      <w:marBottom w:val="0"/>
      <w:divBdr>
        <w:top w:val="none" w:sz="0" w:space="0" w:color="auto"/>
        <w:left w:val="none" w:sz="0" w:space="0" w:color="auto"/>
        <w:bottom w:val="none" w:sz="0" w:space="0" w:color="auto"/>
        <w:right w:val="none" w:sz="0" w:space="0" w:color="auto"/>
      </w:divBdr>
    </w:div>
    <w:div w:id="210842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a3a33f2ac61d52352d011f60ff86ce8f&amp;mc=true&amp;tpl=/ecfrbrowse/Title02/2cfrv1_02.tpl" TargetMode="External"/><Relationship Id="rId18" Type="http://schemas.openxmlformats.org/officeDocument/2006/relationships/hyperlink" Target="http://www.sam.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gov/policy/fund/reg/edgarReg/edgar.html" TargetMode="External"/><Relationship Id="rId17" Type="http://schemas.openxmlformats.org/officeDocument/2006/relationships/hyperlink" Target="https://www.ecfr.gov/cgi-bin/text-idx?SID=a3a33f2ac61d52352d011f60ff86ce8f&amp;mc=true&amp;tpl=/ecfrbrowse/Title02/2cfrv1_02.tpl" TargetMode="External"/><Relationship Id="rId2" Type="http://schemas.openxmlformats.org/officeDocument/2006/relationships/customXml" Target="../customXml/item2.xml"/><Relationship Id="rId16" Type="http://schemas.openxmlformats.org/officeDocument/2006/relationships/hyperlink" Target="http://www.ecfr.gov/cgi-bin/text-idx?SID=6214841a79953f26c5c230d72d6b70a1&amp;tpl=/ecfrbrowse/Title02/2cfr200_main_02.t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dad45ad671686053a76c7c23296b4761&amp;mc=true&amp;tpl=/ecfrbrowse/Title34/34cfr76_main_02.tpl" TargetMode="External"/><Relationship Id="rId5" Type="http://schemas.openxmlformats.org/officeDocument/2006/relationships/numbering" Target="numbering.xml"/><Relationship Id="rId15" Type="http://schemas.openxmlformats.org/officeDocument/2006/relationships/hyperlink" Target="https://www.ecfr.gov/cgi-bin/text-idx?SID=19a54ffd1ea5e8e6153b196edcd2c0ff&amp;mc=true&amp;node=se2.1.200_11&amp;rgn=div8" TargetMode="External"/><Relationship Id="rId10" Type="http://schemas.openxmlformats.org/officeDocument/2006/relationships/hyperlink" Target="https://www2.ed.gov/policy/fund/reg/edgarReg/edgar.html" TargetMode="External"/><Relationship Id="rId19" Type="http://schemas.openxmlformats.org/officeDocument/2006/relationships/hyperlink" Target="https://www.ecfr.gov/cgi-bin/text-idx?SID=443a2e5e9cae0132f0cd83cf7a541082&amp;mc=true&amp;node=sp2.1.200.f&amp;rgn=div6" TargetMode="External"/><Relationship Id="rId4" Type="http://schemas.openxmlformats.org/officeDocument/2006/relationships/customXml" Target="../customXml/item4.xml"/><Relationship Id="rId9" Type="http://schemas.openxmlformats.org/officeDocument/2006/relationships/hyperlink" Target="https://www.ed.gov/essa" TargetMode="External"/><Relationship Id="rId14" Type="http://schemas.openxmlformats.org/officeDocument/2006/relationships/hyperlink" Target="https://naaweb.org/all-documents/37-hepa-standards-2-0/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1" ma:contentTypeDescription="Create a new document." ma:contentTypeScope="" ma:versionID="a8c7ffce97e0ba5c11af83bb99fd2f00">
  <xsd:schema xmlns:xsd="http://www.w3.org/2001/XMLSchema" xmlns:xs="http://www.w3.org/2001/XMLSchema" xmlns:p="http://schemas.microsoft.com/office/2006/metadata/properties" xmlns:ns3="23df3814-6f62-4215-ae23-4fa231a6ec59" xmlns:ns4="b55cc359-510e-4af2-81bb-0b240aecdefd" targetNamespace="http://schemas.microsoft.com/office/2006/metadata/properties" ma:root="true" ma:fieldsID="9e1b6961a7b3adadef59f106b5511200" ns3:_="" ns4:_="">
    <xsd:import namespace="23df3814-6f62-4215-ae23-4fa231a6ec59"/>
    <xsd:import namespace="b55cc359-510e-4af2-81bb-0b240aecde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A25F1-0668-4925-8F89-B2444F626486}">
  <ds:schemaRefs>
    <ds:schemaRef ds:uri="http://schemas.microsoft.com/sharepoint/v3/contenttype/forms"/>
  </ds:schemaRefs>
</ds:datastoreItem>
</file>

<file path=customXml/itemProps2.xml><?xml version="1.0" encoding="utf-8"?>
<ds:datastoreItem xmlns:ds="http://schemas.openxmlformats.org/officeDocument/2006/customXml" ds:itemID="{0A765DDF-663C-40E4-A69A-D9269204FE39}">
  <ds:schemaRefs>
    <ds:schemaRef ds:uri="23df3814-6f62-4215-ae23-4fa231a6ec59"/>
    <ds:schemaRef ds:uri="http://purl.org/dc/terms/"/>
    <ds:schemaRef ds:uri="http://schemas.openxmlformats.org/package/2006/metadata/core-properties"/>
    <ds:schemaRef ds:uri="http://www.w3.org/XML/1998/namespace"/>
    <ds:schemaRef ds:uri="b55cc359-510e-4af2-81bb-0b240aecdefd"/>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51B46CB-BF0F-441F-8B4C-27C5A90E2737}">
  <ds:schemaRefs>
    <ds:schemaRef ds:uri="http://schemas.openxmlformats.org/officeDocument/2006/bibliography"/>
  </ds:schemaRefs>
</ds:datastoreItem>
</file>

<file path=customXml/itemProps4.xml><?xml version="1.0" encoding="utf-8"?>
<ds:datastoreItem xmlns:ds="http://schemas.openxmlformats.org/officeDocument/2006/customXml" ds:itemID="{CC773566-4B64-46D2-AFE2-D9C0720CE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f3814-6f62-4215-ae23-4fa231a6ec59"/>
    <ds:schemaRef ds:uri="b55cc359-510e-4af2-81bb-0b240aec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Trimble, William</dc:creator>
  <cp:keywords/>
  <dc:description/>
  <cp:lastModifiedBy>Mermin, Jan</cp:lastModifiedBy>
  <cp:revision>4</cp:revision>
  <cp:lastPrinted>2023-11-28T16:37:00Z</cp:lastPrinted>
  <dcterms:created xsi:type="dcterms:W3CDTF">2023-11-28T18:16:00Z</dcterms:created>
  <dcterms:modified xsi:type="dcterms:W3CDTF">2023-12-03T16:24:00Z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y fmtid="{D5CDD505-2E9C-101B-9397-08002B2CF9AE}" pid="3" name="Order">
    <vt:r8>1505500</vt:r8>
  </property>
  <property fmtid="{D5CDD505-2E9C-101B-9397-08002B2CF9AE}" pid="4" name="AuthorIds_UIVersion_512">
    <vt:lpwstr>305</vt:lpwstr>
  </property>
  <property fmtid="{D5CDD505-2E9C-101B-9397-08002B2CF9AE}" pid="5" name="AuthorIds_UIVersion_2048">
    <vt:lpwstr>305</vt:lpwstr>
  </property>
</Properties>
</file>